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7A" w:rsidRPr="00BB4B7B" w:rsidRDefault="00360FF9" w:rsidP="00BB4B7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УДК:</w:t>
      </w:r>
      <w:r w:rsidR="00B44209">
        <w:rPr>
          <w:rFonts w:ascii="Arial" w:hAnsi="Arial" w:cs="Arial"/>
        </w:rPr>
        <w:t xml:space="preserve"> 323 (415)</w:t>
      </w:r>
    </w:p>
    <w:p w:rsidR="002F5E14" w:rsidRPr="00BB4B7B" w:rsidRDefault="00DA7B4B" w:rsidP="002F5E14">
      <w:pPr>
        <w:spacing w:after="0" w:line="240" w:lineRule="auto"/>
        <w:rPr>
          <w:rFonts w:ascii="Arial" w:hAnsi="Arial" w:cs="Arial"/>
          <w:b/>
        </w:rPr>
      </w:pPr>
      <w:r w:rsidRPr="00BB4B7B">
        <w:rPr>
          <w:rFonts w:ascii="Arial" w:hAnsi="Arial" w:cs="Arial"/>
          <w:b/>
        </w:rPr>
        <w:t xml:space="preserve">Ф.З. </w:t>
      </w:r>
      <w:r w:rsidR="002F5E14" w:rsidRPr="00BB4B7B">
        <w:rPr>
          <w:rFonts w:ascii="Arial" w:hAnsi="Arial" w:cs="Arial"/>
          <w:b/>
        </w:rPr>
        <w:t xml:space="preserve">Ражепаева </w:t>
      </w:r>
    </w:p>
    <w:p w:rsidR="002F5E14" w:rsidRPr="00BB4B7B" w:rsidRDefault="002F5E14" w:rsidP="002F5E14">
      <w:pPr>
        <w:spacing w:after="0" w:line="240" w:lineRule="auto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Восточно-Казахстанский государственный университет им. С.Аманжолова </w:t>
      </w:r>
    </w:p>
    <w:p w:rsidR="002F5E14" w:rsidRPr="00BB4B7B" w:rsidRDefault="002F5E14" w:rsidP="002F5E14">
      <w:pPr>
        <w:spacing w:after="0" w:line="240" w:lineRule="auto"/>
        <w:rPr>
          <w:rFonts w:ascii="Arial" w:hAnsi="Arial" w:cs="Arial"/>
        </w:rPr>
      </w:pPr>
      <w:r w:rsidRPr="00BB4B7B">
        <w:rPr>
          <w:rFonts w:ascii="Arial" w:hAnsi="Arial" w:cs="Arial"/>
        </w:rPr>
        <w:t>г. Усть-Каменогорск, Республика Казахстан</w:t>
      </w:r>
    </w:p>
    <w:p w:rsidR="00A07A4E" w:rsidRPr="00BB4B7B" w:rsidRDefault="00A07A4E" w:rsidP="00D55C9C">
      <w:pPr>
        <w:jc w:val="both"/>
        <w:rPr>
          <w:rFonts w:ascii="Arial" w:hAnsi="Arial" w:cs="Arial"/>
        </w:rPr>
      </w:pPr>
    </w:p>
    <w:p w:rsidR="00A07A4E" w:rsidRPr="00BB4B7B" w:rsidRDefault="00790BE1" w:rsidP="00A07A4E">
      <w:pPr>
        <w:ind w:firstLine="709"/>
        <w:jc w:val="center"/>
        <w:rPr>
          <w:rFonts w:ascii="Arial" w:hAnsi="Arial" w:cs="Arial"/>
          <w:b/>
        </w:rPr>
      </w:pPr>
      <w:r w:rsidRPr="00BB4B7B">
        <w:rPr>
          <w:rFonts w:ascii="Arial" w:hAnsi="Arial" w:cs="Arial"/>
          <w:b/>
        </w:rPr>
        <w:t xml:space="preserve">ФИНАНСИРОВАНИЕ ЗДРАВООХРАНЕНИЯ СТРАН ЕАЭС </w:t>
      </w:r>
      <w:r w:rsidR="00E33E41" w:rsidRPr="00BB4B7B">
        <w:rPr>
          <w:rFonts w:ascii="Arial" w:hAnsi="Arial" w:cs="Arial"/>
          <w:b/>
        </w:rPr>
        <w:t>И ПРИЧИНЫ СМЕРТНОСТИ СРЕДИ МОЛОДЕЖИ</w:t>
      </w:r>
      <w:r w:rsidR="00A07A4E" w:rsidRPr="00BB4B7B">
        <w:rPr>
          <w:rFonts w:ascii="Arial" w:hAnsi="Arial" w:cs="Arial"/>
          <w:b/>
        </w:rPr>
        <w:t xml:space="preserve"> </w:t>
      </w:r>
    </w:p>
    <w:p w:rsidR="00DA7B4B" w:rsidRPr="00144A41" w:rsidRDefault="00D55C9C" w:rsidP="00144A41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BB4B7B">
        <w:rPr>
          <w:rFonts w:ascii="Arial" w:hAnsi="Arial" w:cs="Arial"/>
          <w:b/>
          <w:i/>
        </w:rPr>
        <w:t>Аннотация</w:t>
      </w:r>
      <w:r w:rsidR="00790BE1" w:rsidRPr="00BB4B7B">
        <w:rPr>
          <w:rFonts w:ascii="Arial" w:hAnsi="Arial" w:cs="Arial"/>
          <w:b/>
          <w:i/>
        </w:rPr>
        <w:t>:</w:t>
      </w:r>
      <w:r w:rsidR="00790BE1" w:rsidRPr="00BB4B7B">
        <w:rPr>
          <w:rFonts w:ascii="Arial" w:hAnsi="Arial" w:cs="Arial"/>
          <w:i/>
        </w:rPr>
        <w:t xml:space="preserve"> </w:t>
      </w:r>
      <w:r w:rsidR="00790BE1" w:rsidRPr="00A3774E">
        <w:rPr>
          <w:rFonts w:ascii="Arial" w:hAnsi="Arial" w:cs="Arial"/>
          <w:i/>
        </w:rPr>
        <w:t xml:space="preserve">статья посвящена </w:t>
      </w:r>
      <w:r w:rsidR="00DA7B4B" w:rsidRPr="00A3774E">
        <w:rPr>
          <w:rFonts w:ascii="Arial" w:hAnsi="Arial" w:cs="Arial"/>
          <w:i/>
        </w:rPr>
        <w:t>проблемам</w:t>
      </w:r>
      <w:r w:rsidR="00790BE1" w:rsidRPr="00A3774E">
        <w:rPr>
          <w:rFonts w:ascii="Arial" w:hAnsi="Arial" w:cs="Arial"/>
          <w:i/>
        </w:rPr>
        <w:t xml:space="preserve"> финансирования системы здравоохранения стран-членов Ев</w:t>
      </w:r>
      <w:r w:rsidR="00DA7B4B" w:rsidRPr="00A3774E">
        <w:rPr>
          <w:rFonts w:ascii="Arial" w:hAnsi="Arial" w:cs="Arial"/>
          <w:i/>
        </w:rPr>
        <w:t xml:space="preserve">разийского экономического союза и высокой смертности среди молодежи. </w:t>
      </w:r>
      <w:r w:rsidR="00757812" w:rsidRPr="00A3774E">
        <w:rPr>
          <w:rFonts w:ascii="Arial" w:hAnsi="Arial" w:cs="Arial"/>
          <w:i/>
        </w:rPr>
        <w:t xml:space="preserve">В </w:t>
      </w:r>
      <w:r w:rsidR="00DA7B4B" w:rsidRPr="00A3774E">
        <w:rPr>
          <w:rFonts w:ascii="Arial" w:hAnsi="Arial" w:cs="Arial"/>
          <w:i/>
        </w:rPr>
        <w:t xml:space="preserve">статье </w:t>
      </w:r>
      <w:r w:rsidR="00757812" w:rsidRPr="00A3774E">
        <w:rPr>
          <w:rFonts w:ascii="Arial" w:hAnsi="Arial" w:cs="Arial"/>
          <w:i/>
        </w:rPr>
        <w:t>показана динамика выделенных на здравоохранение средств, представлены</w:t>
      </w:r>
      <w:r w:rsidR="00DA7B4B" w:rsidRPr="00A3774E">
        <w:rPr>
          <w:rFonts w:ascii="Arial" w:hAnsi="Arial" w:cs="Arial"/>
          <w:i/>
        </w:rPr>
        <w:t xml:space="preserve"> внутренние причины ухода из жизни представителей мужско</w:t>
      </w:r>
      <w:r w:rsidR="00856C78" w:rsidRPr="00A3774E">
        <w:rPr>
          <w:rFonts w:ascii="Arial" w:hAnsi="Arial" w:cs="Arial"/>
          <w:i/>
        </w:rPr>
        <w:t>го и женского пола в возрасте пятнадцати –</w:t>
      </w:r>
      <w:r w:rsidR="00A3774E" w:rsidRPr="00A3774E">
        <w:rPr>
          <w:rFonts w:ascii="Arial" w:hAnsi="Arial" w:cs="Arial"/>
          <w:i/>
        </w:rPr>
        <w:t xml:space="preserve"> </w:t>
      </w:r>
      <w:r w:rsidR="00856C78" w:rsidRPr="00A3774E">
        <w:rPr>
          <w:rFonts w:ascii="Arial" w:hAnsi="Arial" w:cs="Arial"/>
          <w:i/>
        </w:rPr>
        <w:t>двадцати девяти</w:t>
      </w:r>
      <w:r w:rsidR="00DA7B4B" w:rsidRPr="00A3774E">
        <w:rPr>
          <w:rFonts w:ascii="Arial" w:hAnsi="Arial" w:cs="Arial"/>
          <w:i/>
        </w:rPr>
        <w:t xml:space="preserve"> лет.</w:t>
      </w:r>
      <w:r w:rsidR="00757812" w:rsidRPr="00A3774E">
        <w:rPr>
          <w:rFonts w:ascii="Arial" w:hAnsi="Arial" w:cs="Arial"/>
          <w:i/>
        </w:rPr>
        <w:t xml:space="preserve"> Названы основные заболевания, приведшие к смерти молодых людей. Более подробно, в динамике и в сравнение со всеми стр</w:t>
      </w:r>
      <w:r w:rsidR="00856C78" w:rsidRPr="00A3774E">
        <w:rPr>
          <w:rFonts w:ascii="Arial" w:hAnsi="Arial" w:cs="Arial"/>
          <w:i/>
        </w:rPr>
        <w:t xml:space="preserve">анами </w:t>
      </w:r>
      <w:r w:rsidR="00A3774E" w:rsidRPr="00A3774E">
        <w:rPr>
          <w:rFonts w:ascii="Arial" w:hAnsi="Arial" w:cs="Arial"/>
          <w:i/>
        </w:rPr>
        <w:t>ЕАЭС</w:t>
      </w:r>
      <w:r w:rsidR="00856C78" w:rsidRPr="00A3774E">
        <w:rPr>
          <w:rFonts w:ascii="Arial" w:hAnsi="Arial" w:cs="Arial"/>
          <w:i/>
        </w:rPr>
        <w:t>,</w:t>
      </w:r>
      <w:r w:rsidR="00757812" w:rsidRPr="00A3774E">
        <w:rPr>
          <w:rFonts w:ascii="Arial" w:hAnsi="Arial" w:cs="Arial"/>
          <w:i/>
        </w:rPr>
        <w:t xml:space="preserve"> раскрыты причины смертности от случайных отравлений алкоголем, самоубийств и убийств от всех видов транспортных несчастных случаев. Подчеркнуто, что смертность – это серьезная социально-экономическая проблема, имеющая негативные последствия для экономик и дем</w:t>
      </w:r>
      <w:r w:rsidR="00856C78" w:rsidRPr="00A3774E">
        <w:rPr>
          <w:rFonts w:ascii="Arial" w:hAnsi="Arial" w:cs="Arial"/>
          <w:i/>
        </w:rPr>
        <w:t>ографической ситуации стран Евразийского интеграционного объединения</w:t>
      </w:r>
      <w:r w:rsidR="00757812" w:rsidRPr="00A3774E">
        <w:rPr>
          <w:rFonts w:ascii="Arial" w:hAnsi="Arial" w:cs="Arial"/>
          <w:i/>
        </w:rPr>
        <w:t>. Предложены меры борьбы за здоровье нации, и особенно ее молодого поколения.</w:t>
      </w:r>
    </w:p>
    <w:p w:rsidR="00D55C9C" w:rsidRPr="00BB4B7B" w:rsidRDefault="00D55C9C" w:rsidP="00BB4B7B">
      <w:pPr>
        <w:spacing w:after="0" w:line="240" w:lineRule="auto"/>
        <w:ind w:firstLine="709"/>
        <w:jc w:val="both"/>
        <w:rPr>
          <w:rFonts w:ascii="Arial" w:hAnsi="Arial" w:cs="Arial"/>
          <w:i/>
        </w:rPr>
      </w:pPr>
      <w:r w:rsidRPr="00BB4B7B">
        <w:rPr>
          <w:rFonts w:ascii="Arial" w:hAnsi="Arial" w:cs="Arial"/>
          <w:b/>
          <w:i/>
        </w:rPr>
        <w:t>Ключевые слова</w:t>
      </w:r>
      <w:r w:rsidR="00790BE1" w:rsidRPr="00BB4B7B">
        <w:rPr>
          <w:rFonts w:ascii="Arial" w:hAnsi="Arial" w:cs="Arial"/>
          <w:b/>
          <w:i/>
        </w:rPr>
        <w:t>:</w:t>
      </w:r>
      <w:r w:rsidR="00790BE1" w:rsidRPr="00BB4B7B">
        <w:rPr>
          <w:rFonts w:ascii="Arial" w:hAnsi="Arial" w:cs="Arial"/>
          <w:i/>
        </w:rPr>
        <w:t xml:space="preserve"> ЕАЭС, экономический кризис, здоровье нации, здравоохранение, смертность молодежи, причины смертности.</w:t>
      </w:r>
    </w:p>
    <w:p w:rsidR="00790BE1" w:rsidRPr="00BB4B7B" w:rsidRDefault="00790BE1" w:rsidP="00BB4B7B">
      <w:pPr>
        <w:spacing w:after="0" w:line="240" w:lineRule="auto"/>
        <w:ind w:firstLine="709"/>
        <w:rPr>
          <w:rFonts w:ascii="Arial" w:hAnsi="Arial" w:cs="Arial"/>
          <w:i/>
        </w:rPr>
      </w:pPr>
    </w:p>
    <w:p w:rsidR="00BD1BE9" w:rsidRPr="00BB4B7B" w:rsidRDefault="00E33E41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Одной из крупнейших международных </w:t>
      </w:r>
      <w:r w:rsidR="00D9597E" w:rsidRPr="00BB4B7B">
        <w:rPr>
          <w:rFonts w:ascii="Arial" w:hAnsi="Arial" w:cs="Arial"/>
        </w:rPr>
        <w:t xml:space="preserve">интеграционных </w:t>
      </w:r>
      <w:r w:rsidRPr="00BB4B7B">
        <w:rPr>
          <w:rFonts w:ascii="Arial" w:hAnsi="Arial" w:cs="Arial"/>
        </w:rPr>
        <w:t xml:space="preserve">организаций в настоящее время является </w:t>
      </w:r>
      <w:r w:rsidR="00482131" w:rsidRPr="00BB4B7B">
        <w:rPr>
          <w:rFonts w:ascii="Arial" w:hAnsi="Arial" w:cs="Arial"/>
        </w:rPr>
        <w:t>Евразийский экономический союз (ЕАЭС)</w:t>
      </w:r>
      <w:r w:rsidRPr="00BB4B7B">
        <w:rPr>
          <w:rFonts w:ascii="Arial" w:hAnsi="Arial" w:cs="Arial"/>
        </w:rPr>
        <w:t>. Первоначально в него входили 3 государства</w:t>
      </w:r>
      <w:r w:rsidR="003D4373" w:rsidRPr="00BB4B7B">
        <w:rPr>
          <w:rFonts w:ascii="Arial" w:hAnsi="Arial" w:cs="Arial"/>
        </w:rPr>
        <w:t xml:space="preserve"> </w:t>
      </w:r>
      <w:r w:rsidR="00482131" w:rsidRPr="00BB4B7B">
        <w:rPr>
          <w:rFonts w:ascii="Arial" w:hAnsi="Arial" w:cs="Arial"/>
        </w:rPr>
        <w:t xml:space="preserve">– </w:t>
      </w:r>
      <w:r w:rsidR="00142E3C">
        <w:rPr>
          <w:rFonts w:ascii="Arial" w:hAnsi="Arial" w:cs="Arial"/>
        </w:rPr>
        <w:t>Беларусь</w:t>
      </w:r>
      <w:r w:rsidRPr="00BB4B7B">
        <w:rPr>
          <w:rFonts w:ascii="Arial" w:hAnsi="Arial" w:cs="Arial"/>
        </w:rPr>
        <w:t>, Казахстан и Россия. В 2015 году полноправными членами этой организации стали еще 2 страны -</w:t>
      </w:r>
      <w:r w:rsidR="00482131" w:rsidRPr="00BB4B7B">
        <w:rPr>
          <w:rFonts w:ascii="Arial" w:hAnsi="Arial" w:cs="Arial"/>
        </w:rPr>
        <w:t xml:space="preserve"> </w:t>
      </w:r>
      <w:r w:rsidR="00142E3C">
        <w:rPr>
          <w:rFonts w:ascii="Arial" w:hAnsi="Arial" w:cs="Arial"/>
        </w:rPr>
        <w:t>Кыргызстан</w:t>
      </w:r>
      <w:r w:rsidR="00482131" w:rsidRPr="00BB4B7B">
        <w:rPr>
          <w:rFonts w:ascii="Arial" w:hAnsi="Arial" w:cs="Arial"/>
        </w:rPr>
        <w:t xml:space="preserve"> и Армения. </w:t>
      </w:r>
    </w:p>
    <w:p w:rsidR="0021312E" w:rsidRPr="00BB4B7B" w:rsidRDefault="00020375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В </w:t>
      </w:r>
      <w:r w:rsidR="00D9597E" w:rsidRPr="00BB4B7B">
        <w:rPr>
          <w:rFonts w:ascii="Arial" w:hAnsi="Arial" w:cs="Arial"/>
        </w:rPr>
        <w:t>начале XXI века весь мир потряс экономический</w:t>
      </w:r>
      <w:r w:rsidRPr="00BB4B7B">
        <w:rPr>
          <w:rFonts w:ascii="Arial" w:hAnsi="Arial" w:cs="Arial"/>
        </w:rPr>
        <w:t xml:space="preserve"> к</w:t>
      </w:r>
      <w:r w:rsidR="00D9597E" w:rsidRPr="00BB4B7B">
        <w:rPr>
          <w:rFonts w:ascii="Arial" w:hAnsi="Arial" w:cs="Arial"/>
        </w:rPr>
        <w:t>ризис. В результате</w:t>
      </w:r>
      <w:r w:rsidRPr="00BB4B7B">
        <w:rPr>
          <w:rFonts w:ascii="Arial" w:hAnsi="Arial" w:cs="Arial"/>
        </w:rPr>
        <w:t>,</w:t>
      </w:r>
      <w:r w:rsidR="00A04EE8">
        <w:rPr>
          <w:rFonts w:ascii="Arial" w:hAnsi="Arial" w:cs="Arial"/>
        </w:rPr>
        <w:t xml:space="preserve"> в странах ЕАЭС в 2014-2016 гг.</w:t>
      </w:r>
      <w:r w:rsidRPr="00BB4B7B">
        <w:rPr>
          <w:rFonts w:ascii="Arial" w:hAnsi="Arial" w:cs="Arial"/>
        </w:rPr>
        <w:t xml:space="preserve"> произошло сокращение номинальных объемов</w:t>
      </w:r>
      <w:r w:rsidR="00843D3A" w:rsidRPr="00BB4B7B">
        <w:rPr>
          <w:rFonts w:ascii="Arial" w:hAnsi="Arial" w:cs="Arial"/>
        </w:rPr>
        <w:t xml:space="preserve"> валового внутреннего продукта (ВВ</w:t>
      </w:r>
      <w:r w:rsidR="009E45B0" w:rsidRPr="00BB4B7B">
        <w:rPr>
          <w:rFonts w:ascii="Arial" w:hAnsi="Arial" w:cs="Arial"/>
        </w:rPr>
        <w:t>П</w:t>
      </w:r>
      <w:r w:rsidR="00843D3A" w:rsidRPr="00BB4B7B">
        <w:rPr>
          <w:rFonts w:ascii="Arial" w:hAnsi="Arial" w:cs="Arial"/>
        </w:rPr>
        <w:t>)</w:t>
      </w:r>
      <w:r w:rsidRPr="00BB4B7B">
        <w:rPr>
          <w:rFonts w:ascii="Arial" w:hAnsi="Arial" w:cs="Arial"/>
        </w:rPr>
        <w:t xml:space="preserve">. Но несмотря на это, удельный вес взаимной торговли в общем объеме внешней торговли в 2015-2016 гг. увеличился. </w:t>
      </w:r>
      <w:r w:rsidR="00437357" w:rsidRPr="00BB4B7B">
        <w:rPr>
          <w:rFonts w:ascii="Arial" w:hAnsi="Arial" w:cs="Arial"/>
        </w:rPr>
        <w:t>Таким образом, в</w:t>
      </w:r>
      <w:r w:rsidR="00A04EE8">
        <w:rPr>
          <w:rFonts w:ascii="Arial" w:hAnsi="Arial" w:cs="Arial"/>
        </w:rPr>
        <w:t>нутренняя торговля в рамках интеграционного объединения</w:t>
      </w:r>
      <w:r w:rsidRPr="00BB4B7B">
        <w:rPr>
          <w:rFonts w:ascii="Arial" w:hAnsi="Arial" w:cs="Arial"/>
        </w:rPr>
        <w:t xml:space="preserve"> в кризисных условиях оказалась более устойчиво</w:t>
      </w:r>
      <w:r w:rsidR="00437357" w:rsidRPr="00BB4B7B">
        <w:rPr>
          <w:rFonts w:ascii="Arial" w:hAnsi="Arial" w:cs="Arial"/>
        </w:rPr>
        <w:t xml:space="preserve">й, чем торговля </w:t>
      </w:r>
      <w:r w:rsidR="003D4373" w:rsidRPr="00BB4B7B">
        <w:rPr>
          <w:rFonts w:ascii="Arial" w:hAnsi="Arial" w:cs="Arial"/>
        </w:rPr>
        <w:t>Евразийского экономического с</w:t>
      </w:r>
      <w:r w:rsidR="00437357" w:rsidRPr="00BB4B7B">
        <w:rPr>
          <w:rFonts w:ascii="Arial" w:hAnsi="Arial" w:cs="Arial"/>
        </w:rPr>
        <w:t>оюза с другими</w:t>
      </w:r>
      <w:r w:rsidRPr="00BB4B7B">
        <w:rPr>
          <w:rFonts w:ascii="Arial" w:hAnsi="Arial" w:cs="Arial"/>
        </w:rPr>
        <w:t xml:space="preserve"> странами. Кроме того, в</w:t>
      </w:r>
      <w:r w:rsidR="00643C12" w:rsidRPr="00BB4B7B">
        <w:rPr>
          <w:rFonts w:ascii="Arial" w:hAnsi="Arial" w:cs="Arial"/>
        </w:rPr>
        <w:t xml:space="preserve">аловой внутренний продукт на душу населения по паритету покупательной способности (в долларах США) </w:t>
      </w:r>
      <w:r w:rsidR="00F570FD" w:rsidRPr="00BB4B7B">
        <w:rPr>
          <w:rFonts w:ascii="Arial" w:hAnsi="Arial" w:cs="Arial"/>
        </w:rPr>
        <w:t>увеличился в 2015 г</w:t>
      </w:r>
      <w:r w:rsidR="003D4373" w:rsidRPr="00BB4B7B">
        <w:rPr>
          <w:rFonts w:ascii="Arial" w:hAnsi="Arial" w:cs="Arial"/>
        </w:rPr>
        <w:t>оду во всех государствах-членах</w:t>
      </w:r>
      <w:r w:rsidR="00496CDD" w:rsidRPr="00BB4B7B">
        <w:rPr>
          <w:rFonts w:ascii="Arial" w:hAnsi="Arial" w:cs="Arial"/>
        </w:rPr>
        <w:t xml:space="preserve"> организации </w:t>
      </w:r>
      <w:r w:rsidR="00F570FD" w:rsidRPr="00BB4B7B">
        <w:rPr>
          <w:rFonts w:ascii="Arial" w:hAnsi="Arial" w:cs="Arial"/>
        </w:rPr>
        <w:t xml:space="preserve">от 15 до 27 процентов </w:t>
      </w:r>
      <w:r w:rsidR="00643C12" w:rsidRPr="00BB4B7B">
        <w:rPr>
          <w:rFonts w:ascii="Arial" w:hAnsi="Arial" w:cs="Arial"/>
        </w:rPr>
        <w:t xml:space="preserve">по сравнению с 2010 </w:t>
      </w:r>
      <w:r w:rsidR="00643C12" w:rsidRPr="00135847">
        <w:rPr>
          <w:rFonts w:ascii="Arial" w:hAnsi="Arial" w:cs="Arial"/>
        </w:rPr>
        <w:t xml:space="preserve">годом </w:t>
      </w:r>
      <w:r w:rsidR="00BB4B7B" w:rsidRPr="00135847">
        <w:rPr>
          <w:rFonts w:ascii="Arial" w:hAnsi="Arial" w:cs="Arial"/>
        </w:rPr>
        <w:t>[</w:t>
      </w:r>
      <w:r w:rsidR="00135847" w:rsidRPr="00135847">
        <w:rPr>
          <w:rFonts w:ascii="Arial" w:hAnsi="Arial" w:cs="Arial"/>
        </w:rPr>
        <w:t>1</w:t>
      </w:r>
      <w:r w:rsidR="0021312E" w:rsidRPr="00135847">
        <w:rPr>
          <w:rFonts w:ascii="Arial" w:hAnsi="Arial" w:cs="Arial"/>
        </w:rPr>
        <w:t>].</w:t>
      </w:r>
      <w:r w:rsidR="00E5219E">
        <w:rPr>
          <w:rFonts w:ascii="Arial" w:hAnsi="Arial" w:cs="Arial"/>
        </w:rPr>
        <w:t xml:space="preserve"> </w:t>
      </w:r>
    </w:p>
    <w:p w:rsidR="00437357" w:rsidRPr="00BB4B7B" w:rsidRDefault="00437357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По прогнозу экспертов Евразийского банка в связи с ростом мировых цен на нефть и улучшение</w:t>
      </w:r>
      <w:r w:rsidR="00496CDD" w:rsidRPr="00BB4B7B">
        <w:rPr>
          <w:rFonts w:ascii="Arial" w:hAnsi="Arial" w:cs="Arial"/>
        </w:rPr>
        <w:t>м</w:t>
      </w:r>
      <w:r w:rsidRPr="00BB4B7B">
        <w:rPr>
          <w:rFonts w:ascii="Arial" w:hAnsi="Arial" w:cs="Arial"/>
        </w:rPr>
        <w:t xml:space="preserve"> динамики мировой экономики </w:t>
      </w:r>
      <w:r w:rsidR="003D4373" w:rsidRPr="00BB4B7B">
        <w:rPr>
          <w:rFonts w:ascii="Arial" w:hAnsi="Arial" w:cs="Arial"/>
        </w:rPr>
        <w:t xml:space="preserve">в настоящее время </w:t>
      </w:r>
      <w:r w:rsidRPr="00BB4B7B">
        <w:rPr>
          <w:rFonts w:ascii="Arial" w:hAnsi="Arial" w:cs="Arial"/>
        </w:rPr>
        <w:t>государства</w:t>
      </w:r>
      <w:r w:rsidR="00A04EE8">
        <w:rPr>
          <w:rFonts w:ascii="Arial" w:hAnsi="Arial" w:cs="Arial"/>
        </w:rPr>
        <w:t>, входящие в</w:t>
      </w:r>
      <w:r w:rsidRPr="00BB4B7B">
        <w:rPr>
          <w:rFonts w:ascii="Arial" w:hAnsi="Arial" w:cs="Arial"/>
        </w:rPr>
        <w:t xml:space="preserve"> ЕАЭС</w:t>
      </w:r>
      <w:r w:rsidR="00A04EE8">
        <w:rPr>
          <w:rFonts w:ascii="Arial" w:hAnsi="Arial" w:cs="Arial"/>
        </w:rPr>
        <w:t>,</w:t>
      </w:r>
      <w:r w:rsidRPr="00BB4B7B">
        <w:rPr>
          <w:rFonts w:ascii="Arial" w:hAnsi="Arial" w:cs="Arial"/>
        </w:rPr>
        <w:t xml:space="preserve"> в перспективе ожидает экономический рост. Они предполагают</w:t>
      </w:r>
      <w:r w:rsidR="003D4373" w:rsidRPr="00BB4B7B">
        <w:rPr>
          <w:rFonts w:ascii="Arial" w:hAnsi="Arial" w:cs="Arial"/>
        </w:rPr>
        <w:t>, что в России ВВП</w:t>
      </w:r>
      <w:r w:rsidRPr="00BB4B7B">
        <w:rPr>
          <w:rFonts w:ascii="Arial" w:hAnsi="Arial" w:cs="Arial"/>
        </w:rPr>
        <w:t xml:space="preserve"> </w:t>
      </w:r>
      <w:r w:rsidR="003D4373" w:rsidRPr="00BB4B7B">
        <w:rPr>
          <w:rFonts w:ascii="Arial" w:hAnsi="Arial" w:cs="Arial"/>
        </w:rPr>
        <w:t xml:space="preserve">увеличится </w:t>
      </w:r>
      <w:r w:rsidRPr="00BB4B7B">
        <w:rPr>
          <w:rFonts w:ascii="Arial" w:hAnsi="Arial" w:cs="Arial"/>
        </w:rPr>
        <w:t xml:space="preserve">с 1,4 до 1,7%, </w:t>
      </w:r>
      <w:r w:rsidR="003D4373" w:rsidRPr="00BB4B7B">
        <w:rPr>
          <w:rFonts w:ascii="Arial" w:hAnsi="Arial" w:cs="Arial"/>
        </w:rPr>
        <w:t xml:space="preserve">в </w:t>
      </w:r>
      <w:r w:rsidRPr="00BB4B7B">
        <w:rPr>
          <w:rFonts w:ascii="Arial" w:hAnsi="Arial" w:cs="Arial"/>
        </w:rPr>
        <w:t xml:space="preserve">Беларуси — с 1,4 до 1,8%, </w:t>
      </w:r>
      <w:r w:rsidR="003D4373" w:rsidRPr="00BB4B7B">
        <w:rPr>
          <w:rFonts w:ascii="Arial" w:hAnsi="Arial" w:cs="Arial"/>
        </w:rPr>
        <w:t>в Кыргызстане</w:t>
      </w:r>
      <w:r w:rsidRPr="00BB4B7B">
        <w:rPr>
          <w:rFonts w:ascii="Arial" w:hAnsi="Arial" w:cs="Arial"/>
        </w:rPr>
        <w:t xml:space="preserve"> — с 3,7 до 4%</w:t>
      </w:r>
      <w:r w:rsidR="003D4373" w:rsidRPr="00BB4B7B">
        <w:rPr>
          <w:rFonts w:ascii="Arial" w:hAnsi="Arial" w:cs="Arial"/>
        </w:rPr>
        <w:t>, а в Казахстане</w:t>
      </w:r>
      <w:r w:rsidR="00CF3681" w:rsidRPr="00BB4B7B">
        <w:rPr>
          <w:rFonts w:ascii="Arial" w:hAnsi="Arial" w:cs="Arial"/>
        </w:rPr>
        <w:t xml:space="preserve"> — с 3,4 до 3,7%</w:t>
      </w:r>
      <w:r w:rsidR="00135847">
        <w:rPr>
          <w:rFonts w:ascii="Arial" w:hAnsi="Arial" w:cs="Arial"/>
        </w:rPr>
        <w:t xml:space="preserve"> [2</w:t>
      </w:r>
      <w:r w:rsidR="005F5E22" w:rsidRPr="00BB4B7B">
        <w:rPr>
          <w:rFonts w:ascii="Arial" w:hAnsi="Arial" w:cs="Arial"/>
        </w:rPr>
        <w:t>]</w:t>
      </w:r>
      <w:r w:rsidR="00CF3681" w:rsidRPr="00BB4B7B">
        <w:rPr>
          <w:rFonts w:ascii="Arial" w:hAnsi="Arial" w:cs="Arial"/>
        </w:rPr>
        <w:t xml:space="preserve">. </w:t>
      </w:r>
      <w:r w:rsidRPr="00BB4B7B">
        <w:rPr>
          <w:rFonts w:ascii="Arial" w:hAnsi="Arial" w:cs="Arial"/>
        </w:rPr>
        <w:t xml:space="preserve">Росту экономики в </w:t>
      </w:r>
      <w:r w:rsidR="00452936" w:rsidRPr="00BB4B7B">
        <w:rPr>
          <w:rFonts w:ascii="Arial" w:hAnsi="Arial" w:cs="Arial"/>
        </w:rPr>
        <w:t>государствах</w:t>
      </w:r>
      <w:r w:rsidR="00496CDD" w:rsidRPr="00BB4B7B">
        <w:rPr>
          <w:rFonts w:ascii="Arial" w:hAnsi="Arial" w:cs="Arial"/>
        </w:rPr>
        <w:t xml:space="preserve"> Евразийского союза</w:t>
      </w:r>
      <w:r w:rsidRPr="00BB4B7B">
        <w:rPr>
          <w:rFonts w:ascii="Arial" w:hAnsi="Arial" w:cs="Arial"/>
        </w:rPr>
        <w:t xml:space="preserve"> способств</w:t>
      </w:r>
      <w:r w:rsidR="00D9597E" w:rsidRPr="00BB4B7B">
        <w:rPr>
          <w:rFonts w:ascii="Arial" w:hAnsi="Arial" w:cs="Arial"/>
        </w:rPr>
        <w:t>ую</w:t>
      </w:r>
      <w:r w:rsidR="00496CDD" w:rsidRPr="00BB4B7B">
        <w:rPr>
          <w:rFonts w:ascii="Arial" w:hAnsi="Arial" w:cs="Arial"/>
        </w:rPr>
        <w:t>т</w:t>
      </w:r>
      <w:r w:rsidRPr="00BB4B7B">
        <w:rPr>
          <w:rFonts w:ascii="Arial" w:hAnsi="Arial" w:cs="Arial"/>
        </w:rPr>
        <w:t xml:space="preserve"> не только </w:t>
      </w:r>
      <w:r w:rsidR="003D4373" w:rsidRPr="00BB4B7B">
        <w:rPr>
          <w:rFonts w:ascii="Arial" w:hAnsi="Arial" w:cs="Arial"/>
        </w:rPr>
        <w:t xml:space="preserve">рост цен на энергоресурсы, но и внутренние факторы, к которым мы </w:t>
      </w:r>
      <w:r w:rsidR="00496CDD" w:rsidRPr="00BB4B7B">
        <w:rPr>
          <w:rFonts w:ascii="Arial" w:hAnsi="Arial" w:cs="Arial"/>
        </w:rPr>
        <w:t>относим</w:t>
      </w:r>
      <w:r w:rsidR="00A1742E" w:rsidRPr="00BB4B7B">
        <w:rPr>
          <w:rFonts w:ascii="Arial" w:hAnsi="Arial" w:cs="Arial"/>
        </w:rPr>
        <w:t xml:space="preserve"> </w:t>
      </w:r>
      <w:r w:rsidR="00496CDD" w:rsidRPr="00BB4B7B">
        <w:rPr>
          <w:rFonts w:ascii="Arial" w:hAnsi="Arial" w:cs="Arial"/>
        </w:rPr>
        <w:t xml:space="preserve">повышение </w:t>
      </w:r>
      <w:r w:rsidR="00A1742E" w:rsidRPr="00BB4B7B">
        <w:rPr>
          <w:rFonts w:ascii="Arial" w:hAnsi="Arial" w:cs="Arial"/>
        </w:rPr>
        <w:t>уровн</w:t>
      </w:r>
      <w:r w:rsidR="00496CDD" w:rsidRPr="00BB4B7B">
        <w:rPr>
          <w:rFonts w:ascii="Arial" w:hAnsi="Arial" w:cs="Arial"/>
        </w:rPr>
        <w:t>я</w:t>
      </w:r>
      <w:r w:rsidR="00A1742E" w:rsidRPr="00BB4B7B">
        <w:rPr>
          <w:rFonts w:ascii="Arial" w:hAnsi="Arial" w:cs="Arial"/>
        </w:rPr>
        <w:t xml:space="preserve"> жизни</w:t>
      </w:r>
      <w:r w:rsidR="00496CDD" w:rsidRPr="00BB4B7B">
        <w:rPr>
          <w:rFonts w:ascii="Arial" w:hAnsi="Arial" w:cs="Arial"/>
        </w:rPr>
        <w:t>, благосостояния и здоровья</w:t>
      </w:r>
      <w:r w:rsidR="00A1742E" w:rsidRPr="00BB4B7B">
        <w:rPr>
          <w:rFonts w:ascii="Arial" w:hAnsi="Arial" w:cs="Arial"/>
        </w:rPr>
        <w:t xml:space="preserve"> нации</w:t>
      </w:r>
      <w:r w:rsidR="009E45B0" w:rsidRPr="00BB4B7B">
        <w:rPr>
          <w:rFonts w:ascii="Arial" w:hAnsi="Arial" w:cs="Arial"/>
        </w:rPr>
        <w:t>.</w:t>
      </w:r>
    </w:p>
    <w:p w:rsidR="003D4373" w:rsidRPr="00BB4B7B" w:rsidRDefault="003D4373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В свою очередь з</w:t>
      </w:r>
      <w:r w:rsidR="00496CDD" w:rsidRPr="00BB4B7B">
        <w:rPr>
          <w:rFonts w:ascii="Arial" w:hAnsi="Arial" w:cs="Arial"/>
        </w:rPr>
        <w:t>доровье населения любой страны</w:t>
      </w:r>
      <w:r w:rsidR="00F570FD" w:rsidRPr="00BB4B7B">
        <w:rPr>
          <w:rFonts w:ascii="Arial" w:hAnsi="Arial" w:cs="Arial"/>
        </w:rPr>
        <w:t xml:space="preserve"> </w:t>
      </w:r>
      <w:r w:rsidR="00496CDD" w:rsidRPr="00BB4B7B">
        <w:rPr>
          <w:rFonts w:ascii="Arial" w:hAnsi="Arial" w:cs="Arial"/>
        </w:rPr>
        <w:t xml:space="preserve">во многом </w:t>
      </w:r>
      <w:r w:rsidRPr="00BB4B7B">
        <w:rPr>
          <w:rFonts w:ascii="Arial" w:hAnsi="Arial" w:cs="Arial"/>
        </w:rPr>
        <w:t xml:space="preserve">зависит от </w:t>
      </w:r>
      <w:r w:rsidR="00F570FD" w:rsidRPr="00BB4B7B">
        <w:rPr>
          <w:rFonts w:ascii="Arial" w:hAnsi="Arial" w:cs="Arial"/>
        </w:rPr>
        <w:t>экономической политики</w:t>
      </w:r>
      <w:r w:rsidR="00496CDD" w:rsidRPr="00BB4B7B">
        <w:rPr>
          <w:rFonts w:ascii="Arial" w:hAnsi="Arial" w:cs="Arial"/>
        </w:rPr>
        <w:t xml:space="preserve"> государства</w:t>
      </w:r>
      <w:r w:rsidRPr="00BB4B7B">
        <w:rPr>
          <w:rFonts w:ascii="Arial" w:hAnsi="Arial" w:cs="Arial"/>
        </w:rPr>
        <w:t>, от вкладываемых в нее финансовых средств.</w:t>
      </w:r>
    </w:p>
    <w:p w:rsidR="002F211B" w:rsidRPr="00BB4B7B" w:rsidRDefault="003D4373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Расходы на здравоохранение </w:t>
      </w:r>
      <w:r w:rsidR="00A04EE8">
        <w:rPr>
          <w:rFonts w:ascii="Arial" w:hAnsi="Arial" w:cs="Arial"/>
        </w:rPr>
        <w:t xml:space="preserve">- </w:t>
      </w:r>
      <w:r w:rsidRPr="00BB4B7B">
        <w:rPr>
          <w:rFonts w:ascii="Arial" w:hAnsi="Arial" w:cs="Arial"/>
        </w:rPr>
        <w:t>важный показатель социального развития, который отражает степень внимания государства к здоровью населения своей страны. Он рассчитывается как общий объём государственных и частных расходов на здравоохранение, выраженный в процентах от вало</w:t>
      </w:r>
      <w:r w:rsidR="00843D3A" w:rsidRPr="00BB4B7B">
        <w:rPr>
          <w:rFonts w:ascii="Arial" w:hAnsi="Arial" w:cs="Arial"/>
        </w:rPr>
        <w:t>вого внутреннего продукта</w:t>
      </w:r>
      <w:r w:rsidR="00087D70" w:rsidRPr="00BB4B7B">
        <w:rPr>
          <w:rFonts w:ascii="Arial" w:hAnsi="Arial" w:cs="Arial"/>
        </w:rPr>
        <w:t>.</w:t>
      </w:r>
      <w:r w:rsidRPr="00BB4B7B">
        <w:rPr>
          <w:rFonts w:ascii="Arial" w:hAnsi="Arial" w:cs="Arial"/>
        </w:rPr>
        <w:t xml:space="preserve"> </w:t>
      </w:r>
      <w:r w:rsidR="00087D70" w:rsidRPr="00BB4B7B">
        <w:rPr>
          <w:rFonts w:ascii="Arial" w:hAnsi="Arial" w:cs="Arial"/>
        </w:rPr>
        <w:t>По классификации Всемирного банка</w:t>
      </w:r>
      <w:r w:rsidR="00843D3A" w:rsidRPr="00BB4B7B">
        <w:rPr>
          <w:rFonts w:ascii="Arial" w:hAnsi="Arial" w:cs="Arial"/>
        </w:rPr>
        <w:t xml:space="preserve"> (ВБ)</w:t>
      </w:r>
      <w:r w:rsidR="00087D70" w:rsidRPr="00BB4B7B">
        <w:rPr>
          <w:rFonts w:ascii="Arial" w:hAnsi="Arial" w:cs="Arial"/>
        </w:rPr>
        <w:t xml:space="preserve"> расходы на здравоохранение не</w:t>
      </w:r>
      <w:r w:rsidR="000F1A80">
        <w:rPr>
          <w:rFonts w:ascii="Arial" w:hAnsi="Arial" w:cs="Arial"/>
        </w:rPr>
        <w:t xml:space="preserve"> дол</w:t>
      </w:r>
      <w:r w:rsidR="00135847">
        <w:rPr>
          <w:rFonts w:ascii="Arial" w:hAnsi="Arial" w:cs="Arial"/>
        </w:rPr>
        <w:t>жны быть ниже 6,3% от ВВП [3</w:t>
      </w:r>
      <w:r w:rsidR="00087D70" w:rsidRPr="00BB4B7B">
        <w:rPr>
          <w:rFonts w:ascii="Arial" w:hAnsi="Arial" w:cs="Arial"/>
        </w:rPr>
        <w:t xml:space="preserve">]. Но судя по представленным в таблице 1 данным, он меньше в 3,9 раза в Армении, </w:t>
      </w:r>
      <w:r w:rsidR="00250A8E" w:rsidRPr="00BB4B7B">
        <w:rPr>
          <w:rFonts w:ascii="Arial" w:hAnsi="Arial" w:cs="Arial"/>
        </w:rPr>
        <w:t>в 1,8 р</w:t>
      </w:r>
      <w:r w:rsidR="00843D3A" w:rsidRPr="00BB4B7B">
        <w:rPr>
          <w:rFonts w:ascii="Arial" w:hAnsi="Arial" w:cs="Arial"/>
        </w:rPr>
        <w:t>аза</w:t>
      </w:r>
      <w:r w:rsidR="00250A8E" w:rsidRPr="00BB4B7B">
        <w:rPr>
          <w:rFonts w:ascii="Arial" w:hAnsi="Arial" w:cs="Arial"/>
        </w:rPr>
        <w:t xml:space="preserve"> - </w:t>
      </w:r>
      <w:r w:rsidR="00087D70" w:rsidRPr="00BB4B7B">
        <w:rPr>
          <w:rFonts w:ascii="Arial" w:hAnsi="Arial" w:cs="Arial"/>
        </w:rPr>
        <w:t>в России, в 1,9 раза</w:t>
      </w:r>
      <w:r w:rsidR="00250A8E" w:rsidRPr="00BB4B7B">
        <w:rPr>
          <w:rFonts w:ascii="Arial" w:hAnsi="Arial" w:cs="Arial"/>
        </w:rPr>
        <w:t xml:space="preserve"> - </w:t>
      </w:r>
      <w:r w:rsidR="00087D70" w:rsidRPr="00BB4B7B">
        <w:rPr>
          <w:rFonts w:ascii="Arial" w:hAnsi="Arial" w:cs="Arial"/>
        </w:rPr>
        <w:t xml:space="preserve">в Казахстане, </w:t>
      </w:r>
      <w:r w:rsidR="00250A8E" w:rsidRPr="00BB4B7B">
        <w:rPr>
          <w:rFonts w:ascii="Arial" w:hAnsi="Arial" w:cs="Arial"/>
        </w:rPr>
        <w:t xml:space="preserve">в 1,6 раза - </w:t>
      </w:r>
      <w:r w:rsidR="00087D70" w:rsidRPr="00BB4B7B">
        <w:rPr>
          <w:rFonts w:ascii="Arial" w:hAnsi="Arial" w:cs="Arial"/>
        </w:rPr>
        <w:t>Кыргызстане</w:t>
      </w:r>
      <w:r w:rsidR="00250A8E" w:rsidRPr="00BB4B7B">
        <w:rPr>
          <w:rFonts w:ascii="Arial" w:hAnsi="Arial" w:cs="Arial"/>
        </w:rPr>
        <w:t xml:space="preserve"> и </w:t>
      </w:r>
      <w:r w:rsidR="00087D70" w:rsidRPr="00BB4B7B">
        <w:rPr>
          <w:rFonts w:ascii="Arial" w:hAnsi="Arial" w:cs="Arial"/>
        </w:rPr>
        <w:t>в 1,5</w:t>
      </w:r>
      <w:r w:rsidR="00250A8E" w:rsidRPr="00BB4B7B">
        <w:rPr>
          <w:rFonts w:ascii="Arial" w:hAnsi="Arial" w:cs="Arial"/>
        </w:rPr>
        <w:t xml:space="preserve"> раза - </w:t>
      </w:r>
      <w:r w:rsidR="00087D70" w:rsidRPr="00BB4B7B">
        <w:rPr>
          <w:rFonts w:ascii="Arial" w:hAnsi="Arial" w:cs="Arial"/>
        </w:rPr>
        <w:t xml:space="preserve">в </w:t>
      </w:r>
      <w:r w:rsidR="00250A8E" w:rsidRPr="00BB4B7B">
        <w:rPr>
          <w:rFonts w:ascii="Arial" w:hAnsi="Arial" w:cs="Arial"/>
        </w:rPr>
        <w:t>Беларуси, чем показатель, установленный</w:t>
      </w:r>
      <w:r w:rsidR="00087D70" w:rsidRPr="00BB4B7B">
        <w:rPr>
          <w:rFonts w:ascii="Arial" w:hAnsi="Arial" w:cs="Arial"/>
        </w:rPr>
        <w:t xml:space="preserve"> ВБ. </w:t>
      </w:r>
    </w:p>
    <w:p w:rsidR="00B917BB" w:rsidRDefault="00A638DD" w:rsidP="00A638D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На наш взгляд, здравоохранение в странах</w:t>
      </w:r>
      <w:r w:rsidR="00142E3C">
        <w:rPr>
          <w:rFonts w:ascii="Arial" w:hAnsi="Arial" w:cs="Arial"/>
        </w:rPr>
        <w:t xml:space="preserve"> ЕАЭС находится в сложной ситуации</w:t>
      </w:r>
      <w:r w:rsidRPr="00BB4B7B">
        <w:rPr>
          <w:rFonts w:ascii="Arial" w:hAnsi="Arial" w:cs="Arial"/>
        </w:rPr>
        <w:t xml:space="preserve">. Средства, выделяемые государством на развитие здравоохранения, увеличиваются крайне медленно (таблица 1). </w:t>
      </w:r>
    </w:p>
    <w:p w:rsidR="00144A41" w:rsidRDefault="00144A41" w:rsidP="00A638D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B917BB" w:rsidRDefault="00B917BB" w:rsidP="00B917BB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Таблица 1 -</w:t>
      </w:r>
      <w:r w:rsidRPr="00BB4B7B">
        <w:rPr>
          <w:rFonts w:ascii="Arial" w:hAnsi="Arial" w:cs="Arial"/>
        </w:rPr>
        <w:t xml:space="preserve"> Расходы консолидированных бюджетов н</w:t>
      </w:r>
      <w:r>
        <w:rPr>
          <w:rFonts w:ascii="Arial" w:hAnsi="Arial" w:cs="Arial"/>
        </w:rPr>
        <w:t xml:space="preserve">а здравоохранение (в % к ВВП) </w:t>
      </w:r>
    </w:p>
    <w:p w:rsidR="00B917BB" w:rsidRPr="00BB4B7B" w:rsidRDefault="00B917BB" w:rsidP="00B917BB">
      <w:pPr>
        <w:spacing w:after="0"/>
        <w:ind w:firstLine="709"/>
        <w:jc w:val="both"/>
        <w:rPr>
          <w:rFonts w:ascii="Arial" w:hAnsi="Arial" w:cs="Arial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554"/>
        <w:gridCol w:w="1559"/>
        <w:gridCol w:w="1559"/>
        <w:gridCol w:w="1560"/>
      </w:tblGrid>
      <w:tr w:rsidR="00B917BB" w:rsidRPr="00BB4B7B" w:rsidTr="00453732">
        <w:trPr>
          <w:trHeight w:val="159"/>
          <w:jc w:val="center"/>
        </w:trPr>
        <w:tc>
          <w:tcPr>
            <w:tcW w:w="3261" w:type="dxa"/>
            <w:gridSpan w:val="2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Страны ЕАЭС</w:t>
            </w:r>
          </w:p>
        </w:tc>
        <w:tc>
          <w:tcPr>
            <w:tcW w:w="1554" w:type="dxa"/>
          </w:tcPr>
          <w:p w:rsidR="00B917BB" w:rsidRPr="00BB4B7B" w:rsidRDefault="00B917BB" w:rsidP="00C876EA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2004 г.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2008 г.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2014 г.</w:t>
            </w:r>
          </w:p>
        </w:tc>
        <w:tc>
          <w:tcPr>
            <w:tcW w:w="1560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2016 г.</w:t>
            </w:r>
          </w:p>
        </w:tc>
      </w:tr>
      <w:tr w:rsidR="00B917BB" w:rsidRPr="00BB4B7B" w:rsidTr="00453732">
        <w:trPr>
          <w:jc w:val="center"/>
        </w:trPr>
        <w:tc>
          <w:tcPr>
            <w:tcW w:w="993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Армения</w:t>
            </w:r>
          </w:p>
        </w:tc>
        <w:tc>
          <w:tcPr>
            <w:tcW w:w="1554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1,6</w:t>
            </w:r>
          </w:p>
        </w:tc>
        <w:tc>
          <w:tcPr>
            <w:tcW w:w="1560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1,6</w:t>
            </w:r>
          </w:p>
        </w:tc>
      </w:tr>
      <w:tr w:rsidR="00B917BB" w:rsidRPr="00BB4B7B" w:rsidTr="00453732">
        <w:trPr>
          <w:jc w:val="center"/>
        </w:trPr>
        <w:tc>
          <w:tcPr>
            <w:tcW w:w="993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Беларусь </w:t>
            </w:r>
          </w:p>
        </w:tc>
        <w:tc>
          <w:tcPr>
            <w:tcW w:w="1554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5,0 (2006)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3,8</w:t>
            </w:r>
          </w:p>
        </w:tc>
        <w:tc>
          <w:tcPr>
            <w:tcW w:w="1560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4,05</w:t>
            </w:r>
          </w:p>
        </w:tc>
      </w:tr>
      <w:tr w:rsidR="00B917BB" w:rsidRPr="00BB4B7B" w:rsidTr="00453732">
        <w:trPr>
          <w:jc w:val="center"/>
        </w:trPr>
        <w:tc>
          <w:tcPr>
            <w:tcW w:w="993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Казахстан </w:t>
            </w:r>
          </w:p>
        </w:tc>
        <w:tc>
          <w:tcPr>
            <w:tcW w:w="1554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2,1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2,1</w:t>
            </w:r>
          </w:p>
        </w:tc>
        <w:tc>
          <w:tcPr>
            <w:tcW w:w="1560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3,4</w:t>
            </w:r>
          </w:p>
        </w:tc>
      </w:tr>
      <w:tr w:rsidR="00B917BB" w:rsidRPr="00BB4B7B" w:rsidTr="00453732">
        <w:trPr>
          <w:jc w:val="center"/>
        </w:trPr>
        <w:tc>
          <w:tcPr>
            <w:tcW w:w="993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Кыргызстан </w:t>
            </w:r>
          </w:p>
        </w:tc>
        <w:tc>
          <w:tcPr>
            <w:tcW w:w="1554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3,0</w:t>
            </w:r>
          </w:p>
        </w:tc>
        <w:tc>
          <w:tcPr>
            <w:tcW w:w="1560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3,8</w:t>
            </w:r>
          </w:p>
        </w:tc>
      </w:tr>
      <w:tr w:rsidR="00B917BB" w:rsidRPr="00BB4B7B" w:rsidTr="00453732">
        <w:trPr>
          <w:jc w:val="center"/>
        </w:trPr>
        <w:tc>
          <w:tcPr>
            <w:tcW w:w="993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:rsidR="00B917BB" w:rsidRPr="00BB4B7B" w:rsidRDefault="00B917BB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Россия </w:t>
            </w:r>
          </w:p>
        </w:tc>
        <w:tc>
          <w:tcPr>
            <w:tcW w:w="1554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2,1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4,0</w:t>
            </w:r>
          </w:p>
        </w:tc>
        <w:tc>
          <w:tcPr>
            <w:tcW w:w="1559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  <w:lang w:val="en-US"/>
              </w:rPr>
            </w:pPr>
            <w:r w:rsidRPr="00BB4B7B">
              <w:rPr>
                <w:rFonts w:ascii="Arial" w:hAnsi="Arial" w:cs="Arial"/>
              </w:rPr>
              <w:t>3,5</w:t>
            </w:r>
          </w:p>
        </w:tc>
        <w:tc>
          <w:tcPr>
            <w:tcW w:w="1560" w:type="dxa"/>
          </w:tcPr>
          <w:p w:rsidR="00B917BB" w:rsidRPr="00BB4B7B" w:rsidRDefault="00B917BB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3,6</w:t>
            </w:r>
          </w:p>
        </w:tc>
      </w:tr>
      <w:tr w:rsidR="00875E67" w:rsidRPr="00875E67" w:rsidTr="00453732">
        <w:trPr>
          <w:jc w:val="center"/>
        </w:trPr>
        <w:tc>
          <w:tcPr>
            <w:tcW w:w="9493" w:type="dxa"/>
            <w:gridSpan w:val="6"/>
          </w:tcPr>
          <w:p w:rsidR="00B917BB" w:rsidRPr="00875E67" w:rsidRDefault="00B917BB" w:rsidP="00AC29E7">
            <w:pPr>
              <w:jc w:val="both"/>
              <w:rPr>
                <w:rFonts w:ascii="Arial" w:hAnsi="Arial" w:cs="Arial"/>
              </w:rPr>
            </w:pPr>
            <w:r w:rsidRPr="00875E67">
              <w:rPr>
                <w:rFonts w:ascii="Arial" w:hAnsi="Arial" w:cs="Arial"/>
              </w:rPr>
              <w:t xml:space="preserve">Примечание: таблица составлена на основе данных - Организация системы здравоохранения в странах СНГ // Вестник Росздравнадзор [Электрон. ресурс]. – 2010. - </w:t>
            </w:r>
            <w:r w:rsidRPr="00875E67">
              <w:rPr>
                <w:rFonts w:ascii="Arial" w:hAnsi="Arial" w:cs="Arial"/>
                <w:lang w:val="en-US"/>
              </w:rPr>
              <w:t>URL</w:t>
            </w:r>
            <w:r w:rsidR="00453732" w:rsidRPr="00875E67">
              <w:rPr>
                <w:rFonts w:ascii="Arial" w:hAnsi="Arial" w:cs="Arial"/>
              </w:rPr>
              <w:t>:</w:t>
            </w:r>
            <w:hyperlink r:id="rId8" w:history="1"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https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://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cyberleninka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.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ru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/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article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/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v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/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organizatsiya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-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sistemy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-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zdravoohraneniya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-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v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-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stranah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</w:rPr>
                <w:t>-</w:t>
              </w:r>
              <w:r w:rsidR="00453732" w:rsidRPr="00875E67">
                <w:rPr>
                  <w:rStyle w:val="a4"/>
                  <w:rFonts w:ascii="Arial" w:hAnsi="Arial" w:cs="Arial"/>
                  <w:color w:val="auto"/>
                  <w:u w:val="none"/>
                  <w:lang w:val="en-US"/>
                </w:rPr>
                <w:t>sng</w:t>
              </w:r>
            </w:hyperlink>
            <w:r w:rsidRPr="00875E67">
              <w:rPr>
                <w:rStyle w:val="a4"/>
                <w:rFonts w:ascii="Arial" w:hAnsi="Arial" w:cs="Arial"/>
                <w:color w:val="auto"/>
                <w:u w:val="none"/>
              </w:rPr>
              <w:t xml:space="preserve"> </w:t>
            </w:r>
            <w:r w:rsidR="00135847">
              <w:rPr>
                <w:rFonts w:ascii="Arial" w:hAnsi="Arial" w:cs="Arial"/>
              </w:rPr>
              <w:t>[4</w:t>
            </w:r>
            <w:r w:rsidRPr="00875E67">
              <w:rPr>
                <w:rFonts w:ascii="Arial" w:hAnsi="Arial" w:cs="Arial"/>
              </w:rPr>
              <w:t>].</w:t>
            </w:r>
          </w:p>
        </w:tc>
      </w:tr>
    </w:tbl>
    <w:p w:rsidR="00B917BB" w:rsidRDefault="00B917BB" w:rsidP="00B917B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A638DD" w:rsidRPr="00BB4B7B" w:rsidRDefault="00A638DD" w:rsidP="00A638D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За 12 рассмотренных нами лет, повышение расходов на медицину наблюдалось лишь в Казахстане и Кыргызстане. В 2016 году наибольшее количество средств было выделено в Беларуси (4,05% к ВВП), а наименьшее в Армении (1,6% к ВВП). </w:t>
      </w:r>
    </w:p>
    <w:p w:rsidR="000877B6" w:rsidRPr="00BB4B7B" w:rsidRDefault="001F64FF" w:rsidP="00B917B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И это недопустимо при росте социально значимых болезней, находящихся на первом месте по смертности и инвалидности. </w:t>
      </w:r>
    </w:p>
    <w:p w:rsidR="0021312E" w:rsidRPr="00BB4B7B" w:rsidRDefault="005959B2" w:rsidP="00BB4B7B">
      <w:pPr>
        <w:spacing w:after="0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Низкие государственные расходы на здравоохра</w:t>
      </w:r>
      <w:r w:rsidR="00250A8E" w:rsidRPr="00BB4B7B">
        <w:rPr>
          <w:rFonts w:ascii="Arial" w:hAnsi="Arial" w:cs="Arial"/>
        </w:rPr>
        <w:t>нение в странах ЕАЭС</w:t>
      </w:r>
      <w:r w:rsidR="00452936" w:rsidRPr="00BB4B7B">
        <w:rPr>
          <w:rFonts w:ascii="Arial" w:hAnsi="Arial" w:cs="Arial"/>
        </w:rPr>
        <w:t xml:space="preserve"> приводят к высоким затратам</w:t>
      </w:r>
      <w:r w:rsidRPr="00BB4B7B">
        <w:rPr>
          <w:rFonts w:ascii="Arial" w:hAnsi="Arial" w:cs="Arial"/>
        </w:rPr>
        <w:t xml:space="preserve"> самих граждан на медицинские услуги. Не кажды</w:t>
      </w:r>
      <w:r w:rsidR="00A04EE8">
        <w:rPr>
          <w:rFonts w:ascii="Arial" w:hAnsi="Arial" w:cs="Arial"/>
        </w:rPr>
        <w:t>й гражданин государств интеграционного</w:t>
      </w:r>
      <w:r w:rsidRPr="00BB4B7B">
        <w:rPr>
          <w:rFonts w:ascii="Arial" w:hAnsi="Arial" w:cs="Arial"/>
        </w:rPr>
        <w:t xml:space="preserve"> союза, а тем более молодые люди, могут позволить себе </w:t>
      </w:r>
      <w:r w:rsidR="00BD1230">
        <w:rPr>
          <w:rFonts w:ascii="Arial" w:hAnsi="Arial" w:cs="Arial"/>
        </w:rPr>
        <w:t>за</w:t>
      </w:r>
      <w:r w:rsidR="00A04EE8">
        <w:rPr>
          <w:rFonts w:ascii="Arial" w:hAnsi="Arial" w:cs="Arial"/>
        </w:rPr>
        <w:t>платить</w:t>
      </w:r>
      <w:r w:rsidR="002F211B" w:rsidRPr="00BB4B7B">
        <w:rPr>
          <w:rFonts w:ascii="Arial" w:hAnsi="Arial" w:cs="Arial"/>
        </w:rPr>
        <w:t xml:space="preserve"> за прием у врача и сдачу </w:t>
      </w:r>
      <w:r w:rsidR="00A04EE8">
        <w:rPr>
          <w:rFonts w:ascii="Arial" w:hAnsi="Arial" w:cs="Arial"/>
        </w:rPr>
        <w:t xml:space="preserve">медицинских </w:t>
      </w:r>
      <w:r w:rsidR="002F211B" w:rsidRPr="00BB4B7B">
        <w:rPr>
          <w:rFonts w:ascii="Arial" w:hAnsi="Arial" w:cs="Arial"/>
        </w:rPr>
        <w:t>анализов</w:t>
      </w:r>
      <w:r w:rsidRPr="00BB4B7B">
        <w:rPr>
          <w:rFonts w:ascii="Arial" w:hAnsi="Arial" w:cs="Arial"/>
        </w:rPr>
        <w:t>.</w:t>
      </w:r>
      <w:r w:rsidR="00D52EC6" w:rsidRPr="00BB4B7B">
        <w:rPr>
          <w:rFonts w:ascii="Arial" w:hAnsi="Arial" w:cs="Arial"/>
        </w:rPr>
        <w:t xml:space="preserve"> Не име</w:t>
      </w:r>
      <w:r w:rsidR="00A04EE8">
        <w:rPr>
          <w:rFonts w:ascii="Arial" w:hAnsi="Arial" w:cs="Arial"/>
        </w:rPr>
        <w:t>я возможности обратиться к специалисту</w:t>
      </w:r>
      <w:r w:rsidR="00D52EC6" w:rsidRPr="00BB4B7B">
        <w:rPr>
          <w:rFonts w:ascii="Arial" w:hAnsi="Arial" w:cs="Arial"/>
        </w:rPr>
        <w:t xml:space="preserve"> и диагностировать заболевание на ранней стадии, молодежь попадает в зону риска, </w:t>
      </w:r>
      <w:r w:rsidR="005E3B1B" w:rsidRPr="00BB4B7B">
        <w:rPr>
          <w:rFonts w:ascii="Arial" w:hAnsi="Arial" w:cs="Arial"/>
        </w:rPr>
        <w:t xml:space="preserve">у них </w:t>
      </w:r>
      <w:r w:rsidR="00D52EC6" w:rsidRPr="00BB4B7B">
        <w:rPr>
          <w:rFonts w:ascii="Arial" w:hAnsi="Arial" w:cs="Arial"/>
        </w:rPr>
        <w:t>разви</w:t>
      </w:r>
      <w:r w:rsidR="005E3B1B" w:rsidRPr="00BB4B7B">
        <w:rPr>
          <w:rFonts w:ascii="Arial" w:hAnsi="Arial" w:cs="Arial"/>
        </w:rPr>
        <w:t>ваются различные заболевания</w:t>
      </w:r>
      <w:r w:rsidR="00D52EC6" w:rsidRPr="00BB4B7B">
        <w:rPr>
          <w:rFonts w:ascii="Arial" w:hAnsi="Arial" w:cs="Arial"/>
        </w:rPr>
        <w:t xml:space="preserve">, которые часто приводят к летальному исходу. </w:t>
      </w:r>
    </w:p>
    <w:p w:rsidR="00561070" w:rsidRPr="00BB4B7B" w:rsidRDefault="00250A8E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Кроме того, </w:t>
      </w:r>
      <w:r w:rsidR="00203DFE" w:rsidRPr="00BB4B7B">
        <w:rPr>
          <w:rFonts w:ascii="Arial" w:hAnsi="Arial" w:cs="Arial"/>
        </w:rPr>
        <w:t>со</w:t>
      </w:r>
      <w:r w:rsidRPr="00BB4B7B">
        <w:rPr>
          <w:rFonts w:ascii="Arial" w:hAnsi="Arial" w:cs="Arial"/>
        </w:rPr>
        <w:t>циально-экономические трудности</w:t>
      </w:r>
      <w:r w:rsidR="00203DFE" w:rsidRPr="00BB4B7B">
        <w:rPr>
          <w:rFonts w:ascii="Arial" w:hAnsi="Arial" w:cs="Arial"/>
        </w:rPr>
        <w:t xml:space="preserve">, </w:t>
      </w:r>
      <w:r w:rsidRPr="00BB4B7B">
        <w:rPr>
          <w:rFonts w:ascii="Arial" w:hAnsi="Arial" w:cs="Arial"/>
        </w:rPr>
        <w:t xml:space="preserve">сложная экологическая обстановка, </w:t>
      </w:r>
      <w:r w:rsidR="002F211B" w:rsidRPr="00BB4B7B">
        <w:rPr>
          <w:rFonts w:ascii="Arial" w:hAnsi="Arial" w:cs="Arial"/>
        </w:rPr>
        <w:t>развитие алкоголизма, наркомании и</w:t>
      </w:r>
      <w:r w:rsidR="00203DFE" w:rsidRPr="00BB4B7B">
        <w:rPr>
          <w:rFonts w:ascii="Arial" w:hAnsi="Arial" w:cs="Arial"/>
        </w:rPr>
        <w:t xml:space="preserve"> </w:t>
      </w:r>
      <w:r w:rsidR="00561070" w:rsidRPr="00BB4B7B">
        <w:rPr>
          <w:rFonts w:ascii="Arial" w:hAnsi="Arial" w:cs="Arial"/>
        </w:rPr>
        <w:t xml:space="preserve">курение </w:t>
      </w:r>
      <w:r w:rsidR="00203DFE" w:rsidRPr="00BB4B7B">
        <w:rPr>
          <w:rFonts w:ascii="Arial" w:hAnsi="Arial" w:cs="Arial"/>
        </w:rPr>
        <w:t>прив</w:t>
      </w:r>
      <w:r w:rsidR="002F211B" w:rsidRPr="00BB4B7B">
        <w:rPr>
          <w:rFonts w:ascii="Arial" w:hAnsi="Arial" w:cs="Arial"/>
        </w:rPr>
        <w:t>одя</w:t>
      </w:r>
      <w:r w:rsidR="005959B2" w:rsidRPr="00BB4B7B">
        <w:rPr>
          <w:rFonts w:ascii="Arial" w:hAnsi="Arial" w:cs="Arial"/>
        </w:rPr>
        <w:t>т к снижению иммунной системы</w:t>
      </w:r>
      <w:r w:rsidRPr="00BB4B7B">
        <w:rPr>
          <w:rFonts w:ascii="Arial" w:hAnsi="Arial" w:cs="Arial"/>
        </w:rPr>
        <w:t xml:space="preserve"> организма.</w:t>
      </w:r>
      <w:r w:rsidR="00F96A1E" w:rsidRPr="00BB4B7B">
        <w:rPr>
          <w:rFonts w:ascii="Arial" w:hAnsi="Arial" w:cs="Arial"/>
        </w:rPr>
        <w:t xml:space="preserve"> </w:t>
      </w:r>
    </w:p>
    <w:p w:rsidR="00552318" w:rsidRPr="00BB4B7B" w:rsidRDefault="00552318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Из 188 изученных Всемирной организацией здравоохранения </w:t>
      </w:r>
      <w:r w:rsidR="005E3B1B" w:rsidRPr="00BB4B7B">
        <w:rPr>
          <w:rFonts w:ascii="Arial" w:hAnsi="Arial" w:cs="Arial"/>
        </w:rPr>
        <w:t xml:space="preserve">(ВОЗ) </w:t>
      </w:r>
      <w:r w:rsidRPr="00BB4B7B">
        <w:rPr>
          <w:rFonts w:ascii="Arial" w:hAnsi="Arial" w:cs="Arial"/>
        </w:rPr>
        <w:t xml:space="preserve">стран </w:t>
      </w:r>
      <w:r w:rsidR="0020226B" w:rsidRPr="00BB4B7B">
        <w:rPr>
          <w:rFonts w:ascii="Arial" w:hAnsi="Arial" w:cs="Arial"/>
        </w:rPr>
        <w:t xml:space="preserve">в 2014 году </w:t>
      </w:r>
      <w:r w:rsidR="00A6439F">
        <w:rPr>
          <w:rFonts w:ascii="Arial" w:hAnsi="Arial" w:cs="Arial"/>
        </w:rPr>
        <w:t>четвертое</w:t>
      </w:r>
      <w:r w:rsidRPr="00BB4B7B">
        <w:rPr>
          <w:rFonts w:ascii="Arial" w:hAnsi="Arial" w:cs="Arial"/>
        </w:rPr>
        <w:t xml:space="preserve"> место по уровн</w:t>
      </w:r>
      <w:r w:rsidR="0021426D" w:rsidRPr="00BB4B7B">
        <w:rPr>
          <w:rFonts w:ascii="Arial" w:hAnsi="Arial" w:cs="Arial"/>
        </w:rPr>
        <w:t>ю употребления алкоголя занимала</w:t>
      </w:r>
      <w:r w:rsidRPr="00BB4B7B">
        <w:rPr>
          <w:rFonts w:ascii="Arial" w:hAnsi="Arial" w:cs="Arial"/>
        </w:rPr>
        <w:t xml:space="preserve"> Россия, другие государства Евразийск</w:t>
      </w:r>
      <w:r w:rsidR="0021426D" w:rsidRPr="00BB4B7B">
        <w:rPr>
          <w:rFonts w:ascii="Arial" w:hAnsi="Arial" w:cs="Arial"/>
        </w:rPr>
        <w:t>ого экономического союза занимали</w:t>
      </w:r>
      <w:r w:rsidRPr="00BB4B7B">
        <w:rPr>
          <w:rFonts w:ascii="Arial" w:hAnsi="Arial" w:cs="Arial"/>
        </w:rPr>
        <w:t xml:space="preserve"> </w:t>
      </w:r>
      <w:r w:rsidR="00E1104F" w:rsidRPr="00BB4B7B">
        <w:rPr>
          <w:rFonts w:ascii="Arial" w:hAnsi="Arial" w:cs="Arial"/>
        </w:rPr>
        <w:t>следующие места: десятое</w:t>
      </w:r>
      <w:r w:rsidRPr="00BB4B7B">
        <w:rPr>
          <w:rFonts w:ascii="Arial" w:hAnsi="Arial" w:cs="Arial"/>
        </w:rPr>
        <w:t xml:space="preserve"> –</w:t>
      </w:r>
      <w:r w:rsidR="00452936" w:rsidRPr="00BB4B7B">
        <w:rPr>
          <w:rFonts w:ascii="Arial" w:hAnsi="Arial" w:cs="Arial"/>
        </w:rPr>
        <w:t xml:space="preserve"> </w:t>
      </w:r>
      <w:r w:rsidR="00E1104F" w:rsidRPr="00BB4B7B">
        <w:rPr>
          <w:rFonts w:ascii="Arial" w:hAnsi="Arial" w:cs="Arial"/>
        </w:rPr>
        <w:t>Беларусь, тридцать первое</w:t>
      </w:r>
      <w:r w:rsidR="0021426D" w:rsidRPr="00BB4B7B">
        <w:rPr>
          <w:rFonts w:ascii="Arial" w:hAnsi="Arial" w:cs="Arial"/>
        </w:rPr>
        <w:t xml:space="preserve"> – Арме</w:t>
      </w:r>
      <w:r w:rsidR="00E1104F" w:rsidRPr="00BB4B7B">
        <w:rPr>
          <w:rFonts w:ascii="Arial" w:hAnsi="Arial" w:cs="Arial"/>
        </w:rPr>
        <w:t>ния, тридцать четвертое – Казахстан, сто шестое</w:t>
      </w:r>
      <w:r w:rsidRPr="00BB4B7B">
        <w:rPr>
          <w:rFonts w:ascii="Arial" w:hAnsi="Arial" w:cs="Arial"/>
        </w:rPr>
        <w:t xml:space="preserve"> – </w:t>
      </w:r>
      <w:r w:rsidR="00A04EE8">
        <w:rPr>
          <w:rFonts w:ascii="Arial" w:hAnsi="Arial" w:cs="Arial"/>
        </w:rPr>
        <w:t>Кыргызстан. Таким образом, самым пьющим регионом</w:t>
      </w:r>
      <w:r w:rsidRPr="00BB4B7B">
        <w:rPr>
          <w:rFonts w:ascii="Arial" w:hAnsi="Arial" w:cs="Arial"/>
        </w:rPr>
        <w:t xml:space="preserve"> данного союза является Россия, а наименее употребляемой алкоголь страной, является Кыргызстан</w:t>
      </w:r>
      <w:r w:rsidR="00135847">
        <w:rPr>
          <w:rFonts w:ascii="Arial" w:hAnsi="Arial" w:cs="Arial"/>
        </w:rPr>
        <w:t xml:space="preserve"> [5</w:t>
      </w:r>
      <w:r w:rsidR="005E3B1B" w:rsidRPr="00BB4B7B">
        <w:rPr>
          <w:rFonts w:ascii="Arial" w:hAnsi="Arial" w:cs="Arial"/>
        </w:rPr>
        <w:t>]</w:t>
      </w:r>
      <w:r w:rsidRPr="00BB4B7B">
        <w:rPr>
          <w:rFonts w:ascii="Arial" w:hAnsi="Arial" w:cs="Arial"/>
        </w:rPr>
        <w:t>.</w:t>
      </w:r>
    </w:p>
    <w:p w:rsidR="00ED69D0" w:rsidRPr="00BB4B7B" w:rsidRDefault="00552318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Употребление крепких напитков </w:t>
      </w:r>
      <w:r w:rsidR="0020226B" w:rsidRPr="00BB4B7B">
        <w:rPr>
          <w:rFonts w:ascii="Arial" w:hAnsi="Arial" w:cs="Arial"/>
        </w:rPr>
        <w:t>приводит к заболеванию печени, эпилепсии, раку кишечника, груди, гортани, печени и т.д.</w:t>
      </w:r>
      <w:r w:rsidR="002F211B" w:rsidRPr="00BB4B7B">
        <w:rPr>
          <w:rFonts w:ascii="Arial" w:hAnsi="Arial" w:cs="Arial"/>
        </w:rPr>
        <w:t xml:space="preserve"> </w:t>
      </w:r>
      <w:r w:rsidR="00452936" w:rsidRPr="00BB4B7B">
        <w:rPr>
          <w:rFonts w:ascii="Arial" w:hAnsi="Arial" w:cs="Arial"/>
        </w:rPr>
        <w:t>Ежегодно в мире</w:t>
      </w:r>
      <w:r w:rsidR="0020226B" w:rsidRPr="00BB4B7B">
        <w:rPr>
          <w:rFonts w:ascii="Arial" w:hAnsi="Arial" w:cs="Arial"/>
        </w:rPr>
        <w:t xml:space="preserve"> по причине данных заболеваний умирают до 2,5 млн. человек, в том числе 320 тыс. молод</w:t>
      </w:r>
      <w:r w:rsidR="002F211B" w:rsidRPr="00BB4B7B">
        <w:rPr>
          <w:rFonts w:ascii="Arial" w:hAnsi="Arial" w:cs="Arial"/>
        </w:rPr>
        <w:t>ых людей в возрасте 15 - 29 лет</w:t>
      </w:r>
      <w:r w:rsidR="0020226B" w:rsidRPr="00BB4B7B">
        <w:rPr>
          <w:rFonts w:ascii="Arial" w:hAnsi="Arial" w:cs="Arial"/>
        </w:rPr>
        <w:t xml:space="preserve"> </w:t>
      </w:r>
      <w:r w:rsidR="00135847">
        <w:rPr>
          <w:rFonts w:ascii="Arial" w:hAnsi="Arial" w:cs="Arial"/>
        </w:rPr>
        <w:t>[6</w:t>
      </w:r>
      <w:r w:rsidR="002F211B" w:rsidRPr="00BB4B7B">
        <w:rPr>
          <w:rFonts w:ascii="Arial" w:hAnsi="Arial" w:cs="Arial"/>
        </w:rPr>
        <w:t>].</w:t>
      </w:r>
    </w:p>
    <w:p w:rsidR="00203DFE" w:rsidRPr="00BB4B7B" w:rsidRDefault="00ED69D0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Но еще больше умирает людей в результате табакокурения. Каждый год в мире из-за болезней, связанных с курением, погибает более 5 млн. человек. </w:t>
      </w:r>
    </w:p>
    <w:p w:rsidR="007B6138" w:rsidRPr="00BB4B7B" w:rsidRDefault="00ED69D0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Большинство курильщиков начинают употреблять сигареты </w:t>
      </w:r>
      <w:r w:rsidR="002F211B" w:rsidRPr="00BB4B7B">
        <w:rPr>
          <w:rFonts w:ascii="Arial" w:hAnsi="Arial" w:cs="Arial"/>
        </w:rPr>
        <w:t>еще в школьные годы</w:t>
      </w:r>
      <w:r w:rsidRPr="00BB4B7B">
        <w:rPr>
          <w:rFonts w:ascii="Arial" w:hAnsi="Arial" w:cs="Arial"/>
        </w:rPr>
        <w:t xml:space="preserve">. </w:t>
      </w:r>
      <w:r w:rsidR="009A7934">
        <w:rPr>
          <w:rFonts w:ascii="Arial" w:hAnsi="Arial" w:cs="Arial"/>
        </w:rPr>
        <w:t>Первое</w:t>
      </w:r>
      <w:r w:rsidR="002F211B" w:rsidRPr="00BB4B7B">
        <w:rPr>
          <w:rFonts w:ascii="Arial" w:hAnsi="Arial" w:cs="Arial"/>
        </w:rPr>
        <w:t xml:space="preserve"> место в мире по количеству курящих среди молодежи, п</w:t>
      </w:r>
      <w:r w:rsidRPr="00BB4B7B">
        <w:rPr>
          <w:rFonts w:ascii="Arial" w:hAnsi="Arial" w:cs="Arial"/>
        </w:rPr>
        <w:t>о данным В</w:t>
      </w:r>
      <w:r w:rsidR="002F211B" w:rsidRPr="00BB4B7B">
        <w:rPr>
          <w:rFonts w:ascii="Arial" w:hAnsi="Arial" w:cs="Arial"/>
        </w:rPr>
        <w:t>семир</w:t>
      </w:r>
      <w:r w:rsidR="00452936" w:rsidRPr="00BB4B7B">
        <w:rPr>
          <w:rFonts w:ascii="Arial" w:hAnsi="Arial" w:cs="Arial"/>
        </w:rPr>
        <w:t>ной организации здравоохранения,</w:t>
      </w:r>
      <w:r w:rsidR="002F211B" w:rsidRPr="00BB4B7B">
        <w:rPr>
          <w:rFonts w:ascii="Arial" w:hAnsi="Arial" w:cs="Arial"/>
        </w:rPr>
        <w:t xml:space="preserve"> занимает </w:t>
      </w:r>
      <w:r w:rsidRPr="00BB4B7B">
        <w:rPr>
          <w:rFonts w:ascii="Arial" w:hAnsi="Arial" w:cs="Arial"/>
        </w:rPr>
        <w:t>Росси</w:t>
      </w:r>
      <w:r w:rsidR="002F211B" w:rsidRPr="00BB4B7B">
        <w:rPr>
          <w:rFonts w:ascii="Arial" w:hAnsi="Arial" w:cs="Arial"/>
        </w:rPr>
        <w:t>йская Федерация.</w:t>
      </w:r>
      <w:r w:rsidRPr="00BB4B7B">
        <w:rPr>
          <w:rFonts w:ascii="Arial" w:hAnsi="Arial" w:cs="Arial"/>
        </w:rPr>
        <w:t xml:space="preserve"> </w:t>
      </w:r>
      <w:r w:rsidR="008E6296" w:rsidRPr="00BB4B7B">
        <w:rPr>
          <w:rFonts w:ascii="Arial" w:hAnsi="Arial" w:cs="Arial"/>
        </w:rPr>
        <w:t>Большой процент среди кур</w:t>
      </w:r>
      <w:r w:rsidR="00142E3C">
        <w:rPr>
          <w:rFonts w:ascii="Arial" w:hAnsi="Arial" w:cs="Arial"/>
        </w:rPr>
        <w:t>ящих подростков имее</w:t>
      </w:r>
      <w:r w:rsidR="00452936" w:rsidRPr="00BB4B7B">
        <w:rPr>
          <w:rFonts w:ascii="Arial" w:hAnsi="Arial" w:cs="Arial"/>
        </w:rPr>
        <w:t xml:space="preserve">т </w:t>
      </w:r>
      <w:r w:rsidR="008E6296" w:rsidRPr="00BB4B7B">
        <w:rPr>
          <w:rFonts w:ascii="Arial" w:hAnsi="Arial" w:cs="Arial"/>
        </w:rPr>
        <w:t>Беларусь. 23,5 %</w:t>
      </w:r>
      <w:r w:rsidR="00452936" w:rsidRPr="00BB4B7B">
        <w:rPr>
          <w:rFonts w:ascii="Arial" w:hAnsi="Arial" w:cs="Arial"/>
        </w:rPr>
        <w:t xml:space="preserve"> </w:t>
      </w:r>
      <w:r w:rsidR="008E6296" w:rsidRPr="00BB4B7B">
        <w:rPr>
          <w:rFonts w:ascii="Arial" w:hAnsi="Arial" w:cs="Arial"/>
        </w:rPr>
        <w:t>девочек</w:t>
      </w:r>
      <w:r w:rsidR="00135847">
        <w:rPr>
          <w:rFonts w:ascii="Arial" w:hAnsi="Arial" w:cs="Arial"/>
        </w:rPr>
        <w:t xml:space="preserve"> в этой стране курят сигареты [7</w:t>
      </w:r>
      <w:r w:rsidR="009A7934">
        <w:rPr>
          <w:rFonts w:ascii="Arial" w:hAnsi="Arial" w:cs="Arial"/>
        </w:rPr>
        <w:t xml:space="preserve">]. Шестое </w:t>
      </w:r>
      <w:r w:rsidR="008E6296" w:rsidRPr="00BB4B7B">
        <w:rPr>
          <w:rFonts w:ascii="Arial" w:hAnsi="Arial" w:cs="Arial"/>
        </w:rPr>
        <w:t>место в мире по числу курильщ</w:t>
      </w:r>
      <w:r w:rsidR="009A7934">
        <w:rPr>
          <w:rFonts w:ascii="Arial" w:hAnsi="Arial" w:cs="Arial"/>
        </w:rPr>
        <w:t>иков принадлежит Армении. В этом государстве</w:t>
      </w:r>
      <w:r w:rsidR="008E6296" w:rsidRPr="00BB4B7B">
        <w:rPr>
          <w:rFonts w:ascii="Arial" w:hAnsi="Arial" w:cs="Arial"/>
        </w:rPr>
        <w:t xml:space="preserve"> курят 67,5% мужчин и 3,1% женщин в возрасте от 15 до 54 лет, а от болезней, связанных с курением табака, ежегодно умирает около двух тысяч</w:t>
      </w:r>
      <w:r w:rsidR="00135847">
        <w:rPr>
          <w:rFonts w:ascii="Arial" w:hAnsi="Arial" w:cs="Arial"/>
        </w:rPr>
        <w:t xml:space="preserve"> человек в возрасте 35-69 лет [8].</w:t>
      </w:r>
    </w:p>
    <w:p w:rsidR="009C16CD" w:rsidRPr="00BB4B7B" w:rsidRDefault="00CF3681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На протяжении 14 лет XXI</w:t>
      </w:r>
      <w:r w:rsidR="00E66E96" w:rsidRPr="00BB4B7B">
        <w:rPr>
          <w:rFonts w:ascii="Arial" w:hAnsi="Arial" w:cs="Arial"/>
        </w:rPr>
        <w:t xml:space="preserve"> века среди молодежи стран ЕАЭС наблюдалась высокая смертность</w:t>
      </w:r>
      <w:r w:rsidR="00C25A96" w:rsidRPr="00BB4B7B">
        <w:rPr>
          <w:rFonts w:ascii="Arial" w:hAnsi="Arial" w:cs="Arial"/>
        </w:rPr>
        <w:t xml:space="preserve"> (таблица 2)</w:t>
      </w:r>
      <w:r w:rsidR="00E66E96" w:rsidRPr="00BB4B7B">
        <w:rPr>
          <w:rFonts w:ascii="Arial" w:hAnsi="Arial" w:cs="Arial"/>
        </w:rPr>
        <w:t xml:space="preserve">. </w:t>
      </w:r>
    </w:p>
    <w:p w:rsidR="001F64FF" w:rsidRPr="00BB4B7B" w:rsidRDefault="001F64FF" w:rsidP="001F64F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Особенно это характерно для 2000 года, когда на 1000 мужчин в возрасте 15-29 лет самая высокая смертность наблюдалась в России (4,2), на втором месте находился Казахстан (3,4), на третьем – Беларусь (2,4), на четвертом – Кыргызстан (1,9) и на пятом – Армения (1,7). Данный показатель во всех странах, в рассматриваемый нами период, имел тенденцию к сокращению. И места между государствами, членами Евразийской организации, распределись, как и в начале нового столетия. Несколько иная картина сложилась среди представителей женского пола. Здесь на первом месте, как и у мужчин, находилась Россия (1,1), равный с Россией показатель имел Ка</w:t>
      </w:r>
      <w:r w:rsidR="009A7934">
        <w:rPr>
          <w:rFonts w:ascii="Arial" w:hAnsi="Arial" w:cs="Arial"/>
        </w:rPr>
        <w:t>захстан (1,1), на втором месте расположилась</w:t>
      </w:r>
      <w:r w:rsidRPr="00BB4B7B">
        <w:rPr>
          <w:rFonts w:ascii="Arial" w:hAnsi="Arial" w:cs="Arial"/>
        </w:rPr>
        <w:t xml:space="preserve"> Армения (1,0), далее по ниспадающей идут – Кыргызстан (0,8) и Беларусь (0,7). Среди </w:t>
      </w:r>
      <w:r w:rsidRPr="00BB4B7B">
        <w:rPr>
          <w:rFonts w:ascii="Arial" w:hAnsi="Arial" w:cs="Arial"/>
        </w:rPr>
        <w:lastRenderedPageBreak/>
        <w:t>женщин в возрасте 15-29 лет в течение 14 лет также наблюдается тенденция к снижению смертности. В целом во всех странах этот показатель у женщин ниже, чем у мужчин.</w:t>
      </w:r>
    </w:p>
    <w:p w:rsidR="009C16CD" w:rsidRPr="00BB4B7B" w:rsidRDefault="009C16CD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9C16CD" w:rsidRPr="00BB4B7B" w:rsidRDefault="009C16CD" w:rsidP="00BB4B7B">
      <w:pPr>
        <w:spacing w:after="0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Таблица 2 - Смертность мужчин и женщин в возрасте 15-29 лет (число умерших на 1000 населения соот</w:t>
      </w:r>
      <w:r w:rsidR="001F64FF">
        <w:rPr>
          <w:rFonts w:ascii="Arial" w:hAnsi="Arial" w:cs="Arial"/>
        </w:rPr>
        <w:t>ветствующего пола и возраста)</w:t>
      </w:r>
    </w:p>
    <w:p w:rsidR="009C16CD" w:rsidRPr="00BB4B7B" w:rsidRDefault="009C16CD" w:rsidP="009C16CD">
      <w:pPr>
        <w:spacing w:after="0"/>
        <w:ind w:firstLine="709"/>
        <w:rPr>
          <w:rFonts w:ascii="Arial" w:hAnsi="Arial" w:cs="Arial"/>
        </w:rPr>
      </w:pP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1134"/>
        <w:gridCol w:w="1134"/>
        <w:gridCol w:w="1276"/>
        <w:gridCol w:w="1134"/>
      </w:tblGrid>
      <w:tr w:rsidR="009C16CD" w:rsidRPr="00BB4B7B" w:rsidTr="00453732">
        <w:trPr>
          <w:jc w:val="center"/>
        </w:trPr>
        <w:tc>
          <w:tcPr>
            <w:tcW w:w="2547" w:type="dxa"/>
            <w:gridSpan w:val="2"/>
            <w:vMerge w:val="restart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Страны, члены ЕАЭС</w:t>
            </w:r>
          </w:p>
        </w:tc>
        <w:tc>
          <w:tcPr>
            <w:tcW w:w="6946" w:type="dxa"/>
            <w:gridSpan w:val="6"/>
          </w:tcPr>
          <w:p w:rsidR="009C16CD" w:rsidRPr="00BB4B7B" w:rsidRDefault="009C16CD" w:rsidP="00AC29E7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15-29 лет</w:t>
            </w:r>
          </w:p>
        </w:tc>
      </w:tr>
      <w:tr w:rsidR="009C16CD" w:rsidRPr="00BB4B7B" w:rsidTr="00453732">
        <w:trPr>
          <w:jc w:val="center"/>
        </w:trPr>
        <w:tc>
          <w:tcPr>
            <w:tcW w:w="2547" w:type="dxa"/>
            <w:gridSpan w:val="2"/>
            <w:vMerge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2000</w:t>
            </w:r>
          </w:p>
        </w:tc>
        <w:tc>
          <w:tcPr>
            <w:tcW w:w="2268" w:type="dxa"/>
            <w:gridSpan w:val="2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2010</w:t>
            </w:r>
          </w:p>
        </w:tc>
        <w:tc>
          <w:tcPr>
            <w:tcW w:w="2410" w:type="dxa"/>
            <w:gridSpan w:val="2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  <w:lang w:val="en-US"/>
              </w:rPr>
            </w:pPr>
            <w:r w:rsidRPr="00BB4B7B">
              <w:rPr>
                <w:rFonts w:ascii="Arial" w:hAnsi="Arial" w:cs="Arial"/>
              </w:rPr>
              <w:t>2014</w:t>
            </w:r>
          </w:p>
        </w:tc>
      </w:tr>
      <w:tr w:rsidR="00453732" w:rsidRPr="00BB4B7B" w:rsidTr="00453732">
        <w:trPr>
          <w:jc w:val="center"/>
        </w:trPr>
        <w:tc>
          <w:tcPr>
            <w:tcW w:w="2547" w:type="dxa"/>
            <w:gridSpan w:val="2"/>
            <w:vMerge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C16CD" w:rsidRPr="00BB4B7B" w:rsidRDefault="009C16CD" w:rsidP="00C175CB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</w:tcPr>
          <w:p w:rsidR="009C16CD" w:rsidRPr="00BB4B7B" w:rsidRDefault="009C16CD" w:rsidP="00C175CB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ж</w:t>
            </w:r>
          </w:p>
        </w:tc>
        <w:tc>
          <w:tcPr>
            <w:tcW w:w="1134" w:type="dxa"/>
          </w:tcPr>
          <w:p w:rsidR="009C16CD" w:rsidRPr="00BB4B7B" w:rsidRDefault="009C16CD" w:rsidP="00C175CB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</w:tcPr>
          <w:p w:rsidR="009C16CD" w:rsidRPr="00BB4B7B" w:rsidRDefault="009C16CD" w:rsidP="00C175CB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ж</w:t>
            </w:r>
          </w:p>
        </w:tc>
        <w:tc>
          <w:tcPr>
            <w:tcW w:w="1276" w:type="dxa"/>
          </w:tcPr>
          <w:p w:rsidR="009C16CD" w:rsidRPr="00BB4B7B" w:rsidRDefault="009C16CD" w:rsidP="00C175CB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</w:tcPr>
          <w:p w:rsidR="009C16CD" w:rsidRPr="00BB4B7B" w:rsidRDefault="009C16CD" w:rsidP="00C175CB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ж</w:t>
            </w:r>
          </w:p>
        </w:tc>
      </w:tr>
      <w:tr w:rsidR="00453732" w:rsidRPr="00BB4B7B" w:rsidTr="00453732">
        <w:trPr>
          <w:jc w:val="center"/>
        </w:trPr>
        <w:tc>
          <w:tcPr>
            <w:tcW w:w="562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Армения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1,7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0,3</w:t>
            </w:r>
          </w:p>
        </w:tc>
        <w:tc>
          <w:tcPr>
            <w:tcW w:w="1276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0,3</w:t>
            </w:r>
          </w:p>
        </w:tc>
      </w:tr>
      <w:tr w:rsidR="00453732" w:rsidRPr="00BB4B7B" w:rsidTr="00453732">
        <w:trPr>
          <w:jc w:val="center"/>
        </w:trPr>
        <w:tc>
          <w:tcPr>
            <w:tcW w:w="562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Беларусь 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2,4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0,7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1,4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0,4</w:t>
            </w:r>
          </w:p>
        </w:tc>
      </w:tr>
      <w:tr w:rsidR="00453732" w:rsidRPr="00BB4B7B" w:rsidTr="00453732">
        <w:trPr>
          <w:jc w:val="center"/>
        </w:trPr>
        <w:tc>
          <w:tcPr>
            <w:tcW w:w="562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Казахстан 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3,4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2,2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0,8</w:t>
            </w:r>
          </w:p>
        </w:tc>
        <w:tc>
          <w:tcPr>
            <w:tcW w:w="1276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0,6</w:t>
            </w:r>
          </w:p>
        </w:tc>
      </w:tr>
      <w:tr w:rsidR="00453732" w:rsidRPr="00BB4B7B" w:rsidTr="00453732">
        <w:trPr>
          <w:jc w:val="center"/>
        </w:trPr>
        <w:tc>
          <w:tcPr>
            <w:tcW w:w="562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4</w:t>
            </w:r>
          </w:p>
        </w:tc>
        <w:tc>
          <w:tcPr>
            <w:tcW w:w="1985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Кыргызстан 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1,6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0,7</w:t>
            </w:r>
          </w:p>
        </w:tc>
        <w:tc>
          <w:tcPr>
            <w:tcW w:w="1276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0,6</w:t>
            </w:r>
          </w:p>
        </w:tc>
      </w:tr>
      <w:tr w:rsidR="00453732" w:rsidRPr="00BB4B7B" w:rsidTr="00453732">
        <w:trPr>
          <w:jc w:val="center"/>
        </w:trPr>
        <w:tc>
          <w:tcPr>
            <w:tcW w:w="562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9C16CD" w:rsidRPr="00BB4B7B" w:rsidRDefault="009C16CD" w:rsidP="00AC29E7">
            <w:pPr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 xml:space="preserve">Россия 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4,2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2,9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0,9</w:t>
            </w:r>
          </w:p>
        </w:tc>
        <w:tc>
          <w:tcPr>
            <w:tcW w:w="1276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</w:tcPr>
          <w:p w:rsidR="009C16CD" w:rsidRPr="00BB4B7B" w:rsidRDefault="009C16CD" w:rsidP="00453732">
            <w:pPr>
              <w:jc w:val="center"/>
              <w:rPr>
                <w:rFonts w:ascii="Arial" w:hAnsi="Arial" w:cs="Arial"/>
              </w:rPr>
            </w:pPr>
            <w:r w:rsidRPr="00BB4B7B">
              <w:rPr>
                <w:rFonts w:ascii="Arial" w:hAnsi="Arial" w:cs="Arial"/>
              </w:rPr>
              <w:t>0,8</w:t>
            </w:r>
          </w:p>
        </w:tc>
      </w:tr>
      <w:tr w:rsidR="001F64FF" w:rsidRPr="00BB4B7B" w:rsidTr="00453732">
        <w:trPr>
          <w:jc w:val="center"/>
        </w:trPr>
        <w:tc>
          <w:tcPr>
            <w:tcW w:w="9493" w:type="dxa"/>
            <w:gridSpan w:val="8"/>
          </w:tcPr>
          <w:p w:rsidR="001F64FF" w:rsidRPr="00BB4B7B" w:rsidRDefault="001F64FF" w:rsidP="001F64FF">
            <w:pPr>
              <w:tabs>
                <w:tab w:val="left" w:pos="993"/>
              </w:tabs>
              <w:jc w:val="both"/>
              <w:rPr>
                <w:rFonts w:ascii="Arial" w:hAnsi="Arial" w:cs="Arial"/>
              </w:rPr>
            </w:pPr>
            <w:r w:rsidRPr="001F64FF">
              <w:rPr>
                <w:rFonts w:ascii="Arial" w:hAnsi="Arial" w:cs="Arial"/>
              </w:rPr>
              <w:t>Примечание: таблица составлена на основании данных - Молодежь в Содружестве Независимых Государств: статистический портрет. / Статкомитет СН</w:t>
            </w:r>
            <w:r w:rsidR="00135847">
              <w:rPr>
                <w:rFonts w:ascii="Arial" w:hAnsi="Arial" w:cs="Arial"/>
              </w:rPr>
              <w:t>Г, ЮНФПА. М. 2016. – с. 85,87 [9</w:t>
            </w:r>
            <w:r>
              <w:rPr>
                <w:rFonts w:ascii="Arial" w:hAnsi="Arial" w:cs="Arial"/>
              </w:rPr>
              <w:t>].</w:t>
            </w:r>
          </w:p>
        </w:tc>
      </w:tr>
    </w:tbl>
    <w:p w:rsidR="009C16CD" w:rsidRPr="00BB4B7B" w:rsidRDefault="009C16CD" w:rsidP="009C16C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05039" w:rsidRPr="00BB4B7B" w:rsidRDefault="00C25A96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Причины смерти молодежи самые </w:t>
      </w:r>
      <w:r w:rsidR="00E433B8">
        <w:rPr>
          <w:rFonts w:ascii="Arial" w:hAnsi="Arial" w:cs="Arial"/>
        </w:rPr>
        <w:t>ра</w:t>
      </w:r>
      <w:r w:rsidRPr="00BB4B7B">
        <w:rPr>
          <w:rFonts w:ascii="Arial" w:hAnsi="Arial" w:cs="Arial"/>
        </w:rPr>
        <w:t>зн</w:t>
      </w:r>
      <w:r w:rsidR="00A938D2">
        <w:rPr>
          <w:rFonts w:ascii="Arial" w:hAnsi="Arial" w:cs="Arial"/>
        </w:rPr>
        <w:t>ообразн</w:t>
      </w:r>
      <w:r w:rsidRPr="00BB4B7B">
        <w:rPr>
          <w:rFonts w:ascii="Arial" w:hAnsi="Arial" w:cs="Arial"/>
        </w:rPr>
        <w:t>ые. И как видно из таблицы 3</w:t>
      </w:r>
      <w:r w:rsidR="009A03DA" w:rsidRPr="00BB4B7B">
        <w:rPr>
          <w:rFonts w:ascii="Arial" w:hAnsi="Arial" w:cs="Arial"/>
        </w:rPr>
        <w:t>, среди них инфекционные и паразитарные болезни, злокачественные новообразования, болезни системы кровообращения, органов дыхания и пищеварения, мочеполовой системы</w:t>
      </w:r>
      <w:r w:rsidR="0028298E" w:rsidRPr="00BB4B7B">
        <w:rPr>
          <w:rFonts w:ascii="Arial" w:hAnsi="Arial" w:cs="Arial"/>
        </w:rPr>
        <w:t xml:space="preserve">. </w:t>
      </w:r>
    </w:p>
    <w:p w:rsidR="00416120" w:rsidRDefault="00416120" w:rsidP="00875E67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875E67" w:rsidRPr="00BB4B7B" w:rsidRDefault="00875E67" w:rsidP="00875E6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Таблица 3 - Смертность населения в странах ЕАЭС в 2014 году в возрасте 15-29 лет по причинам смерти (число умерших на 100 000 населения соот</w:t>
      </w:r>
      <w:r w:rsidR="00B34A45">
        <w:rPr>
          <w:rFonts w:ascii="Arial" w:hAnsi="Arial" w:cs="Arial"/>
        </w:rPr>
        <w:t>ветствующего пола и возраста)</w:t>
      </w:r>
    </w:p>
    <w:p w:rsidR="00875E67" w:rsidRPr="00BB4B7B" w:rsidRDefault="00875E67" w:rsidP="00875E67">
      <w:pPr>
        <w:spacing w:after="0" w:line="240" w:lineRule="auto"/>
        <w:ind w:firstLine="567"/>
        <w:jc w:val="both"/>
        <w:rPr>
          <w:rFonts w:ascii="Arial" w:hAnsi="Arial" w:cs="Arial"/>
        </w:rPr>
      </w:pPr>
    </w:p>
    <w:tbl>
      <w:tblPr>
        <w:tblStyle w:val="a3"/>
        <w:tblW w:w="10769" w:type="dxa"/>
        <w:jc w:val="center"/>
        <w:tblLayout w:type="fixed"/>
        <w:tblLook w:val="04A0" w:firstRow="1" w:lastRow="0" w:firstColumn="1" w:lastColumn="0" w:noHBand="0" w:noVBand="1"/>
      </w:tblPr>
      <w:tblGrid>
        <w:gridCol w:w="2988"/>
        <w:gridCol w:w="693"/>
        <w:gridCol w:w="709"/>
        <w:gridCol w:w="850"/>
        <w:gridCol w:w="709"/>
        <w:gridCol w:w="850"/>
        <w:gridCol w:w="709"/>
        <w:gridCol w:w="709"/>
        <w:gridCol w:w="850"/>
        <w:gridCol w:w="851"/>
        <w:gridCol w:w="851"/>
      </w:tblGrid>
      <w:tr w:rsidR="00875E67" w:rsidRPr="00B917BB" w:rsidTr="00416120">
        <w:trPr>
          <w:jc w:val="center"/>
        </w:trPr>
        <w:tc>
          <w:tcPr>
            <w:tcW w:w="2988" w:type="dxa"/>
            <w:vMerge w:val="restart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  <w:r w:rsidRPr="00B917BB">
              <w:rPr>
                <w:rFonts w:ascii="Arial" w:hAnsi="Arial" w:cs="Arial"/>
              </w:rPr>
              <w:t>Причины смерти</w:t>
            </w:r>
          </w:p>
        </w:tc>
        <w:tc>
          <w:tcPr>
            <w:tcW w:w="7781" w:type="dxa"/>
            <w:gridSpan w:val="10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  <w:r w:rsidRPr="00B917BB">
              <w:rPr>
                <w:rFonts w:ascii="Arial" w:hAnsi="Arial" w:cs="Arial"/>
              </w:rPr>
              <w:t>15-29 лет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  <w:vMerge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dxa"/>
            <w:gridSpan w:val="2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  <w:r w:rsidRPr="00B917BB">
              <w:rPr>
                <w:rFonts w:ascii="Arial" w:hAnsi="Arial" w:cs="Arial"/>
              </w:rPr>
              <w:t>Армения</w:t>
            </w:r>
          </w:p>
        </w:tc>
        <w:tc>
          <w:tcPr>
            <w:tcW w:w="1559" w:type="dxa"/>
            <w:gridSpan w:val="2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  <w:r w:rsidRPr="00B917BB">
              <w:rPr>
                <w:rFonts w:ascii="Arial" w:hAnsi="Arial" w:cs="Arial"/>
              </w:rPr>
              <w:t>Беларусь</w:t>
            </w:r>
          </w:p>
        </w:tc>
        <w:tc>
          <w:tcPr>
            <w:tcW w:w="1559" w:type="dxa"/>
            <w:gridSpan w:val="2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  <w:r w:rsidRPr="00B917BB">
              <w:rPr>
                <w:rFonts w:ascii="Arial" w:hAnsi="Arial" w:cs="Arial"/>
              </w:rPr>
              <w:t>Казахстан</w:t>
            </w:r>
          </w:p>
        </w:tc>
        <w:tc>
          <w:tcPr>
            <w:tcW w:w="1559" w:type="dxa"/>
            <w:gridSpan w:val="2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</w:rPr>
            </w:pPr>
            <w:r w:rsidRPr="00B917BB">
              <w:rPr>
                <w:rFonts w:ascii="Arial" w:hAnsi="Arial" w:cs="Arial"/>
              </w:rPr>
              <w:t>Кыргызстан</w:t>
            </w:r>
          </w:p>
        </w:tc>
        <w:tc>
          <w:tcPr>
            <w:tcW w:w="1702" w:type="dxa"/>
            <w:gridSpan w:val="2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lang w:val="en-US"/>
              </w:rPr>
            </w:pPr>
            <w:r w:rsidRPr="00B917BB">
              <w:rPr>
                <w:rFonts w:ascii="Arial" w:hAnsi="Arial" w:cs="Arial"/>
              </w:rPr>
              <w:t>Россия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  <w:vMerge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ж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Всего умерших от всех причин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86,3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138,8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37,8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164,7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61,6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62,5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251,6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77,6</w:t>
            </w:r>
          </w:p>
        </w:tc>
      </w:tr>
      <w:tr w:rsidR="00875E67" w:rsidRPr="00B917BB" w:rsidTr="00416120">
        <w:trPr>
          <w:trHeight w:val="276"/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инфекционных и паразитарных болезней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из них от туберкулеза органов дыхания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злокачественных новообразований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болезней системы кровообращения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12,3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9,8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7,2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болезней органов дыхания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болезней органов пищеварения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9,9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болезней мочеполовой системы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внешних причин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56,2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115,4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67,4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168,3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35,8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Из них: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случайных отравлений алкоголем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самоубийств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31,7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9,3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14,2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5,2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33,4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убийств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4,8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</w:tr>
      <w:tr w:rsidR="00875E67" w:rsidRPr="00B917BB" w:rsidTr="00416120">
        <w:trPr>
          <w:jc w:val="center"/>
        </w:trPr>
        <w:tc>
          <w:tcPr>
            <w:tcW w:w="2988" w:type="dxa"/>
          </w:tcPr>
          <w:p w:rsidR="00875E67" w:rsidRPr="00B917BB" w:rsidRDefault="00875E67" w:rsidP="00E038AD">
            <w:pPr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от всех видов транспортных несчастных случаев</w:t>
            </w:r>
          </w:p>
        </w:tc>
        <w:tc>
          <w:tcPr>
            <w:tcW w:w="693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709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850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44,1</w:t>
            </w:r>
          </w:p>
        </w:tc>
        <w:tc>
          <w:tcPr>
            <w:tcW w:w="851" w:type="dxa"/>
          </w:tcPr>
          <w:p w:rsidR="00875E67" w:rsidRPr="00B917BB" w:rsidRDefault="00875E67" w:rsidP="004161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7BB">
              <w:rPr>
                <w:rFonts w:ascii="Arial" w:hAnsi="Arial" w:cs="Arial"/>
                <w:sz w:val="20"/>
                <w:szCs w:val="20"/>
              </w:rPr>
              <w:t>12,1</w:t>
            </w:r>
          </w:p>
        </w:tc>
      </w:tr>
      <w:tr w:rsidR="00875E67" w:rsidRPr="00416120" w:rsidTr="00416120">
        <w:trPr>
          <w:jc w:val="center"/>
        </w:trPr>
        <w:tc>
          <w:tcPr>
            <w:tcW w:w="10769" w:type="dxa"/>
            <w:gridSpan w:val="11"/>
          </w:tcPr>
          <w:p w:rsidR="00875E67" w:rsidRPr="00416120" w:rsidRDefault="00875E67" w:rsidP="00E038AD">
            <w:pPr>
              <w:rPr>
                <w:rFonts w:ascii="Arial" w:hAnsi="Arial" w:cs="Arial"/>
              </w:rPr>
            </w:pPr>
            <w:r w:rsidRPr="00416120">
              <w:rPr>
                <w:rFonts w:ascii="Arial" w:hAnsi="Arial" w:cs="Arial"/>
              </w:rPr>
              <w:t>Примечание: таблица составлена на основании данных - Молодежь в Содружестве Независимых Государств: статис</w:t>
            </w:r>
            <w:r w:rsidR="00C175CB">
              <w:rPr>
                <w:rFonts w:ascii="Arial" w:hAnsi="Arial" w:cs="Arial"/>
              </w:rPr>
              <w:t xml:space="preserve">тический портрет. / Статкомитет </w:t>
            </w:r>
            <w:r w:rsidRPr="00416120">
              <w:rPr>
                <w:rFonts w:ascii="Arial" w:hAnsi="Arial" w:cs="Arial"/>
              </w:rPr>
              <w:t>СН</w:t>
            </w:r>
            <w:r w:rsidR="00135847">
              <w:rPr>
                <w:rFonts w:ascii="Arial" w:hAnsi="Arial" w:cs="Arial"/>
              </w:rPr>
              <w:t>Г, ЮНФПА. М. 2016. – с. 85,87 [9</w:t>
            </w:r>
            <w:r w:rsidRPr="00416120">
              <w:rPr>
                <w:rFonts w:ascii="Arial" w:hAnsi="Arial" w:cs="Arial"/>
              </w:rPr>
              <w:t>].</w:t>
            </w:r>
          </w:p>
        </w:tc>
      </w:tr>
    </w:tbl>
    <w:p w:rsidR="00C175CB" w:rsidRDefault="00C175CB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7E620D" w:rsidRPr="00BB4B7B" w:rsidRDefault="007E620D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lastRenderedPageBreak/>
        <w:t xml:space="preserve">Высоки показатели смертности от внешних причин. От случайных отравлений алкоголем </w:t>
      </w:r>
      <w:r w:rsidR="009A7934">
        <w:rPr>
          <w:rFonts w:ascii="Arial" w:hAnsi="Arial" w:cs="Arial"/>
        </w:rPr>
        <w:t xml:space="preserve">в 2014 году </w:t>
      </w:r>
      <w:r w:rsidRPr="00BB4B7B">
        <w:rPr>
          <w:rFonts w:ascii="Arial" w:hAnsi="Arial" w:cs="Arial"/>
        </w:rPr>
        <w:t xml:space="preserve">погибли 5,6 человек мужского пола на 1000 </w:t>
      </w:r>
      <w:r w:rsidR="009A7934">
        <w:rPr>
          <w:rFonts w:ascii="Arial" w:hAnsi="Arial" w:cs="Arial"/>
        </w:rPr>
        <w:t>граждан</w:t>
      </w:r>
      <w:r w:rsidRPr="00BB4B7B">
        <w:rPr>
          <w:rFonts w:ascii="Arial" w:hAnsi="Arial" w:cs="Arial"/>
        </w:rPr>
        <w:t xml:space="preserve"> в возрасте 15-29 лет в Беларуси, затем идут Россия (4,9), Казахстан (1,5) и Кыргызстан (1,3). Несколько иначе распределились места среди женщин, которые будучи в молодом возрасте, употребляли спиртные напитки и погибли от случайного отравления. Самый высокий показатель среди молодежи женского пола в России (0</w:t>
      </w:r>
      <w:r w:rsidR="00B34A45">
        <w:rPr>
          <w:rFonts w:ascii="Arial" w:hAnsi="Arial" w:cs="Arial"/>
        </w:rPr>
        <w:t>,</w:t>
      </w:r>
      <w:r w:rsidRPr="00BB4B7B">
        <w:rPr>
          <w:rFonts w:ascii="Arial" w:hAnsi="Arial" w:cs="Arial"/>
        </w:rPr>
        <w:t>7), в Казахстане он равен 0,6, далее идет Беларусь – 0,4 и последнее место занимает Кыргызстан – 0,1.</w:t>
      </w:r>
    </w:p>
    <w:p w:rsidR="007E620D" w:rsidRPr="00BB4B7B" w:rsidRDefault="007E620D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К внешней причине смертности относится и самоубийство, когда люди намеренно, по доброй воле уходят из жизни. К способам, которые приводят к летальному исходу, относят выстрелы из огнестрельного оружия и повешение. А к малоэффективным способам, после которых человек чаще всего остается жив, относят отравление лекарственными препаратами и другими веществами, резание вен. Самым высоким показатель смертности от самоубийства в 2014 году был у мужчин в Российской Федерации. 33,4 человека из 1000 молодых людей мужского пола умерли по этой причине. На втором месте находится Казахстан – 31,7, на третьем - Беларусь (27, 0), на четвертом - Кыргызстан (14,2) и на пятом - Армения (1,9). </w:t>
      </w:r>
    </w:p>
    <w:p w:rsidR="007E620D" w:rsidRPr="00BB4B7B" w:rsidRDefault="007E620D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По статистике женщины чаще совершают попытки самоубийства, но количество завершенных самоубийств во всем мире значительно выше у мужчин </w:t>
      </w:r>
      <w:r>
        <w:rPr>
          <w:rFonts w:ascii="Arial" w:hAnsi="Arial" w:cs="Arial"/>
        </w:rPr>
        <w:t>[</w:t>
      </w:r>
      <w:r w:rsidRPr="00135847">
        <w:rPr>
          <w:rFonts w:ascii="Arial" w:hAnsi="Arial" w:cs="Arial"/>
        </w:rPr>
        <w:t>10].</w:t>
      </w:r>
    </w:p>
    <w:p w:rsidR="007E620D" w:rsidRPr="00BB4B7B" w:rsidRDefault="007E620D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Данные таблицы 3 подтверждают данный факт. В целом число самоубийств со смертельным исходом у мужчин выше, ч</w:t>
      </w:r>
      <w:r w:rsidR="009A7934">
        <w:rPr>
          <w:rFonts w:ascii="Arial" w:hAnsi="Arial" w:cs="Arial"/>
        </w:rPr>
        <w:t>ем у женщин. Самое большое количество</w:t>
      </w:r>
      <w:r w:rsidRPr="00BB4B7B">
        <w:rPr>
          <w:rFonts w:ascii="Arial" w:hAnsi="Arial" w:cs="Arial"/>
        </w:rPr>
        <w:t xml:space="preserve"> самоубийств мы наблюдаем в России, где на 1000 человек молодежи мужского пола приходилось 11,4 человека, покончивших с жизнью таким образом. Далее по нисходящей расположились Казахстан (8,2), Кыргызстан (4,8) Беларусь (4,2) и Армения (1,4). Россия также находится впереди и по показателю самоубийств среди женщин в возрасте 15</w:t>
      </w:r>
      <w:r w:rsidR="009A7934">
        <w:rPr>
          <w:rFonts w:ascii="Arial" w:hAnsi="Arial" w:cs="Arial"/>
        </w:rPr>
        <w:t>-29 лет – 2,8; Кыргызстан - на втором месте (2,1); Казахстан - на третьем (1,5), Беларусь - на четвертом (1,1) и Армения - на пятом</w:t>
      </w:r>
      <w:r w:rsidRPr="00BB4B7B">
        <w:rPr>
          <w:rFonts w:ascii="Arial" w:hAnsi="Arial" w:cs="Arial"/>
        </w:rPr>
        <w:t xml:space="preserve"> (0,5).</w:t>
      </w:r>
    </w:p>
    <w:p w:rsidR="007E620D" w:rsidRPr="00BB4B7B" w:rsidRDefault="007E620D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Таким образом, среди молодежи достаточно широко распространено суицидальное поведение, причинами которого часто бывает неразделенная любовь, конфликты с родителями и сверстниками, страх перед будущим, одиночество. </w:t>
      </w:r>
    </w:p>
    <w:p w:rsidR="007E620D" w:rsidRPr="00BB4B7B" w:rsidRDefault="007E620D" w:rsidP="007E620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Проблема смертности от всех видов транспортных несчастных случаев в последнее время является весьма актуальной. На долю мужчин, как это видно из таблицы 3 приходится наибольшее количество погибших. Россия и здесь занимает лидирующие позиции. 44,1 человек из 100000 представителей молодежи мужского пола погибли в результате транспортных несчастных случаев. Следующую позицию занимает Казахстан (29,9), далее идут Кыргызстан (25,5), Беларусь (19,5) и Армения (15,9). Намного ниже эти показатели у женщин: </w:t>
      </w:r>
      <w:r w:rsidR="009A7934">
        <w:rPr>
          <w:rFonts w:ascii="Arial" w:hAnsi="Arial" w:cs="Arial"/>
        </w:rPr>
        <w:t xml:space="preserve">в </w:t>
      </w:r>
      <w:r w:rsidRPr="00BB4B7B">
        <w:rPr>
          <w:rFonts w:ascii="Arial" w:hAnsi="Arial" w:cs="Arial"/>
        </w:rPr>
        <w:t xml:space="preserve">Армении – в 8,4 раза, в Кыргызстане – в 4,3 раза, в Беларуси – в 3,9 раза, в Казахстане – в 3,8 раза и в России – в 3,6 раза. </w:t>
      </w:r>
    </w:p>
    <w:p w:rsidR="001F64FF" w:rsidRDefault="007E620D" w:rsidP="00875E6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Данный факт является свидетельством того, что у женщин лучше развито чувство самосохранения, женщины всегда пристегиваются в автомобиле, они менее рисковые и более аккуратные, чем мужчины.</w:t>
      </w:r>
    </w:p>
    <w:p w:rsidR="00A07A4E" w:rsidRPr="00BB4B7B" w:rsidRDefault="00A07A4E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>В целом, анализируя причины смертности среди молодежи, следу</w:t>
      </w:r>
      <w:r w:rsidR="002341FD">
        <w:rPr>
          <w:rFonts w:ascii="Arial" w:hAnsi="Arial" w:cs="Arial"/>
        </w:rPr>
        <w:t>ет отметить не совсем позитив</w:t>
      </w:r>
      <w:r w:rsidRPr="00BB4B7B">
        <w:rPr>
          <w:rFonts w:ascii="Arial" w:hAnsi="Arial" w:cs="Arial"/>
        </w:rPr>
        <w:t>ную ситуацию в странах ЕАЭС. Наиболее высокими являются практически все показатели смертности в Российской Федерации и самыми низкими в Армении. Достаточно высокая смертность - свидетельство не совсем благополучного психологического микроклимата в государствах-членах Евразийского экономического союза, это серьезная социально-экономическая проблема, имеющая негативные последствия для экономик и демографической ситуации стран ЕАЭС. Умирает молодое, наиболее работоспособное население, которое к тому же является и наиболее продуктивной частью общества в социаль</w:t>
      </w:r>
      <w:r w:rsidR="00E433B8">
        <w:rPr>
          <w:rFonts w:ascii="Arial" w:hAnsi="Arial" w:cs="Arial"/>
        </w:rPr>
        <w:t>но-демографическом отношении. Вследствие</w:t>
      </w:r>
      <w:r w:rsidRPr="00BB4B7B">
        <w:rPr>
          <w:rFonts w:ascii="Arial" w:hAnsi="Arial" w:cs="Arial"/>
        </w:rPr>
        <w:t xml:space="preserve"> этого для роста экономики с</w:t>
      </w:r>
      <w:r w:rsidR="002341FD">
        <w:rPr>
          <w:rFonts w:ascii="Arial" w:hAnsi="Arial" w:cs="Arial"/>
        </w:rPr>
        <w:t>тран интеграционного</w:t>
      </w:r>
      <w:r w:rsidRPr="00BB4B7B">
        <w:rPr>
          <w:rFonts w:ascii="Arial" w:hAnsi="Arial" w:cs="Arial"/>
        </w:rPr>
        <w:t xml:space="preserve"> союза необходимо более активно реализовывать мероприятия социального характера, следует обеспечить профессиональную занятость молодежи, повысить их уровень доходов, улучшить организацию досуга. </w:t>
      </w:r>
    </w:p>
    <w:p w:rsidR="00A07A4E" w:rsidRPr="00BB4B7B" w:rsidRDefault="00A07A4E" w:rsidP="00BB4B7B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BB4B7B">
        <w:rPr>
          <w:rFonts w:ascii="Arial" w:hAnsi="Arial" w:cs="Arial"/>
        </w:rPr>
        <w:t xml:space="preserve">Особую значимость в последние годы приобрела и проблема финансирования здравоохранения. Незначительное увеличение финансовых средств на медицину негативно сказывается на состоянии здоровья населения, в том числе и молодежи. Бороться за здоровье молодежи следует не только государственным структурам, но и общественным организациям, создавая </w:t>
      </w:r>
      <w:r w:rsidRPr="00BB4B7B">
        <w:rPr>
          <w:rFonts w:ascii="Arial" w:hAnsi="Arial" w:cs="Arial"/>
          <w:shd w:val="clear" w:color="auto" w:fill="FFFFFF"/>
        </w:rPr>
        <w:t xml:space="preserve">молодым людям приемлемые условия для жизни, учебы, самосовершенствования. Нужна профилактика заболеваний, вредных привычек, которые в </w:t>
      </w:r>
      <w:r w:rsidRPr="00BB4B7B">
        <w:rPr>
          <w:rFonts w:ascii="Arial" w:hAnsi="Arial" w:cs="Arial"/>
          <w:shd w:val="clear" w:color="auto" w:fill="FFFFFF"/>
        </w:rPr>
        <w:lastRenderedPageBreak/>
        <w:t>итоге могут привести к смерти молодых людей. Надо всячески внедрять в молодежную среду приверженность к здоровому образу жизни</w:t>
      </w:r>
      <w:r w:rsidR="00326DD2" w:rsidRPr="00BB4B7B">
        <w:rPr>
          <w:rFonts w:ascii="Arial" w:hAnsi="Arial" w:cs="Arial"/>
          <w:shd w:val="clear" w:color="auto" w:fill="FFFFFF"/>
        </w:rPr>
        <w:t>.</w:t>
      </w:r>
    </w:p>
    <w:p w:rsidR="00D55C9C" w:rsidRPr="00DF59A0" w:rsidRDefault="00D55C9C" w:rsidP="00BB4B7B">
      <w:pPr>
        <w:spacing w:after="0"/>
        <w:ind w:firstLine="709"/>
        <w:jc w:val="center"/>
        <w:rPr>
          <w:rFonts w:ascii="Arial" w:hAnsi="Arial" w:cs="Arial"/>
          <w:b/>
        </w:rPr>
      </w:pPr>
    </w:p>
    <w:p w:rsidR="000F1A80" w:rsidRDefault="00135847" w:rsidP="000F1A8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Используемая л</w:t>
      </w:r>
      <w:r w:rsidR="00144A41">
        <w:rPr>
          <w:rFonts w:ascii="Arial" w:hAnsi="Arial" w:cs="Arial"/>
          <w:b/>
        </w:rPr>
        <w:t>итература</w:t>
      </w:r>
      <w:r>
        <w:rPr>
          <w:rFonts w:ascii="Arial" w:hAnsi="Arial" w:cs="Arial"/>
          <w:b/>
        </w:rPr>
        <w:t>:</w:t>
      </w:r>
    </w:p>
    <w:p w:rsidR="00135847" w:rsidRDefault="00135847" w:rsidP="000F1A80">
      <w:pPr>
        <w:spacing w:after="0"/>
        <w:jc w:val="center"/>
        <w:rPr>
          <w:rFonts w:ascii="Arial" w:hAnsi="Arial" w:cs="Arial"/>
          <w:b/>
        </w:rPr>
      </w:pPr>
    </w:p>
    <w:p w:rsidR="00135847" w:rsidRPr="000F1A80" w:rsidRDefault="00135847" w:rsidP="0013584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 xml:space="preserve">Основы Евразийского экономического союза-Евразийские исследования [Электрон. ресурс]. - 2017. – URL: </w:t>
      </w:r>
      <w:hyperlink r:id="rId9" w:history="1">
        <w:r w:rsidRPr="000F1A80">
          <w:rPr>
            <w:rStyle w:val="a4"/>
            <w:rFonts w:ascii="Arial" w:hAnsi="Arial" w:cs="Arial"/>
            <w:color w:val="auto"/>
            <w:u w:val="none"/>
          </w:rPr>
          <w:t>http: // eurasian-studies.org/archives/3346</w:t>
        </w:r>
      </w:hyperlink>
      <w:r w:rsidRPr="000F1A80">
        <w:rPr>
          <w:rStyle w:val="a4"/>
          <w:rFonts w:ascii="Arial" w:hAnsi="Arial" w:cs="Arial"/>
          <w:color w:val="auto"/>
          <w:u w:val="none"/>
        </w:rPr>
        <w:t xml:space="preserve"> </w:t>
      </w:r>
      <w:r w:rsidRPr="000F1A80">
        <w:rPr>
          <w:rFonts w:ascii="Arial" w:hAnsi="Arial" w:cs="Arial"/>
        </w:rPr>
        <w:t>(дата обращения: 02.02.2018) – интернет источники.</w:t>
      </w:r>
    </w:p>
    <w:p w:rsidR="00135847" w:rsidRPr="000F1A80" w:rsidRDefault="00135847" w:rsidP="0013584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 xml:space="preserve">Прогнозы для стран ЕАЭС пошли вверх. – 2017. - [Электрон. ресурс]. – URL: </w:t>
      </w:r>
      <w:hyperlink r:id="rId10" w:history="1">
        <w:r w:rsidRPr="000F1A80">
          <w:rPr>
            <w:rStyle w:val="a4"/>
            <w:rFonts w:ascii="Arial" w:hAnsi="Arial" w:cs="Arial"/>
            <w:color w:val="auto"/>
            <w:u w:val="none"/>
          </w:rPr>
          <w:t>https: // www.eg-online.ru/article/360992/</w:t>
        </w:r>
      </w:hyperlink>
      <w:r w:rsidRPr="000F1A80">
        <w:rPr>
          <w:rStyle w:val="a4"/>
          <w:rFonts w:ascii="Arial" w:hAnsi="Arial" w:cs="Arial"/>
          <w:color w:val="auto"/>
          <w:u w:val="none"/>
        </w:rPr>
        <w:t xml:space="preserve"> </w:t>
      </w:r>
      <w:r w:rsidRPr="000F1A80">
        <w:rPr>
          <w:rFonts w:ascii="Arial" w:hAnsi="Arial" w:cs="Arial"/>
        </w:rPr>
        <w:t>(дата обращения: 04.02.2018) – интернет источники.</w:t>
      </w:r>
    </w:p>
    <w:p w:rsidR="00135847" w:rsidRPr="000F1A80" w:rsidRDefault="00135847" w:rsidP="0013584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>Рейтинг стран мира по уровню расходов на здравоохранение [Электрон. ресурс]. – 2018. - URL:</w:t>
      </w:r>
      <w:r w:rsidRPr="00C876EA">
        <w:rPr>
          <w:rFonts w:ascii="Arial" w:hAnsi="Arial" w:cs="Arial"/>
        </w:rPr>
        <w:t xml:space="preserve"> </w:t>
      </w:r>
      <w:hyperlink r:id="rId11" w:history="1">
        <w:r w:rsidR="00C876EA" w:rsidRPr="00C876EA">
          <w:rPr>
            <w:rStyle w:val="a4"/>
            <w:rFonts w:ascii="Arial" w:hAnsi="Arial" w:cs="Arial"/>
            <w:color w:val="auto"/>
            <w:u w:val="none"/>
          </w:rPr>
          <w:t>http://gtmarket.ru/ratings/expenditure-on-health/info</w:t>
        </w:r>
      </w:hyperlink>
      <w:r w:rsidR="00C876EA">
        <w:rPr>
          <w:rFonts w:ascii="Arial" w:hAnsi="Arial" w:cs="Arial"/>
        </w:rPr>
        <w:t xml:space="preserve"> </w:t>
      </w:r>
      <w:r w:rsidRPr="000F1A80">
        <w:rPr>
          <w:rFonts w:ascii="Arial" w:hAnsi="Arial" w:cs="Arial"/>
        </w:rPr>
        <w:t>(дата обращения: 05.02.2018) – интернет источники.</w:t>
      </w:r>
    </w:p>
    <w:p w:rsidR="00135847" w:rsidRPr="000F1A80" w:rsidRDefault="00135847" w:rsidP="0013584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 xml:space="preserve">Организация системы здравоохранения в странах СНГ // Вестник Росздравнадзор [Электрон. ресурс]. – 2010. - </w:t>
      </w:r>
      <w:r w:rsidRPr="000F1A80">
        <w:rPr>
          <w:rFonts w:ascii="Arial" w:hAnsi="Arial" w:cs="Arial"/>
          <w:lang w:val="en-US"/>
        </w:rPr>
        <w:t>URL</w:t>
      </w:r>
      <w:r w:rsidRPr="000F1A80">
        <w:rPr>
          <w:rFonts w:ascii="Arial" w:hAnsi="Arial" w:cs="Arial"/>
        </w:rPr>
        <w:t xml:space="preserve">: </w:t>
      </w:r>
      <w:hyperlink r:id="rId12" w:history="1"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https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 xml:space="preserve">: // 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cyberleninka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.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ru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/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article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/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v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/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organizatsiya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-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sistemy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-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zdravoohraneniya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-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v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-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stranah</w:t>
        </w:r>
        <w:r w:rsidRPr="000F1A80">
          <w:rPr>
            <w:rStyle w:val="a4"/>
            <w:rFonts w:ascii="Arial" w:hAnsi="Arial" w:cs="Arial"/>
            <w:color w:val="auto"/>
            <w:u w:val="none"/>
          </w:rPr>
          <w:t>-</w:t>
        </w:r>
        <w:r w:rsidRPr="000F1A80">
          <w:rPr>
            <w:rStyle w:val="a4"/>
            <w:rFonts w:ascii="Arial" w:hAnsi="Arial" w:cs="Arial"/>
            <w:color w:val="auto"/>
            <w:u w:val="none"/>
            <w:lang w:val="en-US"/>
          </w:rPr>
          <w:t>sng</w:t>
        </w:r>
      </w:hyperlink>
      <w:r w:rsidRPr="000F1A80">
        <w:rPr>
          <w:rFonts w:ascii="Arial" w:hAnsi="Arial" w:cs="Arial"/>
        </w:rPr>
        <w:t xml:space="preserve"> (дата обращения: 05.02.2018) – интернет источники.</w:t>
      </w:r>
    </w:p>
    <w:p w:rsidR="00135847" w:rsidRPr="000F1A80" w:rsidRDefault="00135847" w:rsidP="0013584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a4"/>
          <w:rFonts w:ascii="Arial" w:hAnsi="Arial" w:cs="Arial"/>
          <w:color w:val="auto"/>
          <w:u w:val="none"/>
        </w:rPr>
      </w:pPr>
      <w:r w:rsidRPr="000F1A80">
        <w:rPr>
          <w:rFonts w:ascii="Arial" w:hAnsi="Arial" w:cs="Arial"/>
        </w:rPr>
        <w:t xml:space="preserve">Рейтинг стран мира по уровню потребления алкоголя. Информация об исследовании и его результаты [Электрон. ресурс]. - 2014. – URL: </w:t>
      </w:r>
      <w:hyperlink r:id="rId13" w:history="1">
        <w:r w:rsidRPr="000F1A80">
          <w:rPr>
            <w:rStyle w:val="a4"/>
            <w:rFonts w:ascii="Arial" w:hAnsi="Arial" w:cs="Arial"/>
            <w:color w:val="auto"/>
            <w:u w:val="none"/>
          </w:rPr>
          <w:t xml:space="preserve">http: // gtmarket.ru/ratings/rating-countries-alcohol-consumption/info </w:t>
        </w:r>
      </w:hyperlink>
    </w:p>
    <w:p w:rsidR="000F1A80" w:rsidRPr="000F1A80" w:rsidRDefault="000F1A80" w:rsidP="000F1A8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>Глобальная стратегия ВОЗ по борьбе с алкоголизмом [Электрон. ресурс]. - 2010. - URL: http: // vanilla.su/globalnaya-strategiya-voz-po-borbe-s-alkogolizmom.html</w:t>
      </w:r>
      <w:r w:rsidR="00416120">
        <w:rPr>
          <w:rFonts w:ascii="Arial" w:hAnsi="Arial" w:cs="Arial"/>
          <w:lang w:val="kk-KZ"/>
        </w:rPr>
        <w:t xml:space="preserve"> </w:t>
      </w:r>
      <w:r w:rsidRPr="000F1A80">
        <w:rPr>
          <w:rFonts w:ascii="Arial" w:hAnsi="Arial" w:cs="Arial"/>
        </w:rPr>
        <w:t>(дата обращения: 09.02.2018) – интернет источники.</w:t>
      </w:r>
    </w:p>
    <w:p w:rsidR="00135847" w:rsidRPr="000F1A80" w:rsidRDefault="00135847" w:rsidP="00135847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 xml:space="preserve">Молодое поколение под угрозой [Электрон. ресурс]. - 2017. - URL: </w:t>
      </w:r>
      <w:hyperlink r:id="rId14" w:history="1">
        <w:r w:rsidRPr="000F1A80">
          <w:rPr>
            <w:rStyle w:val="a4"/>
            <w:rFonts w:ascii="Arial" w:hAnsi="Arial" w:cs="Arial"/>
            <w:color w:val="auto"/>
            <w:u w:val="none"/>
          </w:rPr>
          <w:t>http://vawilon.ru/statistika-kureniya/</w:t>
        </w:r>
      </w:hyperlink>
      <w:r w:rsidRPr="000F1A80">
        <w:rPr>
          <w:rFonts w:ascii="Arial" w:hAnsi="Arial" w:cs="Arial"/>
        </w:rPr>
        <w:t xml:space="preserve"> (дата обращения: 09.02.2018) – интернет источники.</w:t>
      </w:r>
    </w:p>
    <w:p w:rsidR="000F1A80" w:rsidRPr="000F1A80" w:rsidRDefault="000F1A80" w:rsidP="000F1A8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 xml:space="preserve">Курение как способ поклонения [Электрон. ресурс]. – 2018. - URL: </w:t>
      </w:r>
      <w:hyperlink r:id="rId15" w:history="1">
        <w:r w:rsidRPr="000F1A80">
          <w:rPr>
            <w:rStyle w:val="a4"/>
            <w:rFonts w:ascii="Arial" w:hAnsi="Arial" w:cs="Arial"/>
            <w:color w:val="auto"/>
            <w:u w:val="none"/>
          </w:rPr>
          <w:t xml:space="preserve">https://www.imbf.org/interesnye-stati/kurenie.html </w:t>
        </w:r>
      </w:hyperlink>
      <w:r w:rsidRPr="000F1A80">
        <w:rPr>
          <w:rFonts w:ascii="Arial" w:hAnsi="Arial" w:cs="Arial"/>
        </w:rPr>
        <w:t>(дата обращения: 10.02.2018) – интернет источники.</w:t>
      </w:r>
    </w:p>
    <w:p w:rsidR="000F1A80" w:rsidRPr="000F1A80" w:rsidRDefault="000F1A80" w:rsidP="000F1A80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>Молодежь в Содружестве Независимых Государств: статистический портрет. / Статкомитет СНГ, ЮНФПА. М. 2016. – с. 85,87.</w:t>
      </w:r>
    </w:p>
    <w:p w:rsidR="00B116EC" w:rsidRPr="007A5954" w:rsidRDefault="00A07A4E" w:rsidP="007A5954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0F1A80">
        <w:rPr>
          <w:rFonts w:ascii="Arial" w:hAnsi="Arial" w:cs="Arial"/>
        </w:rPr>
        <w:t xml:space="preserve">Статистика самоубийств </w:t>
      </w:r>
      <w:r w:rsidR="00796483" w:rsidRPr="000F1A80">
        <w:rPr>
          <w:rFonts w:ascii="Arial" w:hAnsi="Arial" w:cs="Arial"/>
        </w:rPr>
        <w:t xml:space="preserve">[Электрон. ресурс]. – </w:t>
      </w:r>
      <w:r w:rsidR="003140EA" w:rsidRPr="000F1A80">
        <w:rPr>
          <w:rFonts w:ascii="Arial" w:hAnsi="Arial" w:cs="Arial"/>
        </w:rPr>
        <w:t>2015</w:t>
      </w:r>
      <w:r w:rsidR="00796483" w:rsidRPr="000F1A80">
        <w:rPr>
          <w:rFonts w:ascii="Arial" w:hAnsi="Arial" w:cs="Arial"/>
        </w:rPr>
        <w:t xml:space="preserve">. – URL: </w:t>
      </w:r>
      <w:hyperlink r:id="rId16" w:history="1">
        <w:r w:rsidRPr="000F1A80">
          <w:rPr>
            <w:rStyle w:val="a4"/>
            <w:rFonts w:ascii="Arial" w:hAnsi="Arial" w:cs="Arial"/>
            <w:color w:val="auto"/>
            <w:u w:val="none"/>
          </w:rPr>
          <w:t>http://lossofsoul.com/DEATH/suicide/statistic.htm</w:t>
        </w:r>
      </w:hyperlink>
      <w:r w:rsidR="003140EA" w:rsidRPr="000F1A80">
        <w:rPr>
          <w:rStyle w:val="a4"/>
          <w:rFonts w:ascii="Arial" w:hAnsi="Arial" w:cs="Arial"/>
          <w:color w:val="auto"/>
          <w:u w:val="none"/>
        </w:rPr>
        <w:t xml:space="preserve"> </w:t>
      </w:r>
      <w:r w:rsidR="00F768B8" w:rsidRPr="000F1A80">
        <w:rPr>
          <w:rFonts w:ascii="Arial" w:hAnsi="Arial" w:cs="Arial"/>
        </w:rPr>
        <w:t>(дата обращения: 10</w:t>
      </w:r>
      <w:r w:rsidR="00326DD2" w:rsidRPr="000F1A80">
        <w:rPr>
          <w:rFonts w:ascii="Arial" w:hAnsi="Arial" w:cs="Arial"/>
        </w:rPr>
        <w:t>.02.2018) – интернет источники</w:t>
      </w:r>
      <w:r w:rsidR="00F768B8" w:rsidRPr="000F1A80">
        <w:rPr>
          <w:rFonts w:ascii="Arial" w:hAnsi="Arial" w:cs="Arial"/>
        </w:rPr>
        <w:t>.</w:t>
      </w:r>
    </w:p>
    <w:p w:rsidR="007A5954" w:rsidRPr="00C876EA" w:rsidRDefault="007A5954" w:rsidP="007A5954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A5954" w:rsidRPr="00144A41" w:rsidRDefault="007A5954" w:rsidP="007A5954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4A41">
        <w:rPr>
          <w:rFonts w:ascii="Arial" w:hAnsi="Arial" w:cs="Arial"/>
          <w:b/>
          <w:color w:val="000000"/>
          <w:sz w:val="22"/>
          <w:szCs w:val="22"/>
        </w:rPr>
        <w:t>ЕАЭО ЕЛДЕРІНДЕГІ ДЕНСАУЛЫҚ САҚТАУДЫ ҚАРЖЫЛАНДЫРУ ЖӘНЕ ЖАСТАР АРАСЫНДАҒЫ ӨЛІМ СЕБЕПТЕРІ</w:t>
      </w:r>
    </w:p>
    <w:p w:rsidR="007A5954" w:rsidRPr="00CE6EEE" w:rsidRDefault="00144A41" w:rsidP="00CE6EEE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44A41">
        <w:rPr>
          <w:rFonts w:ascii="Arial" w:hAnsi="Arial" w:cs="Arial"/>
          <w:b/>
          <w:color w:val="000000"/>
          <w:sz w:val="22"/>
          <w:szCs w:val="22"/>
        </w:rPr>
        <w:t>Ф.З. Ражепаева</w:t>
      </w:r>
    </w:p>
    <w:p w:rsidR="00453732" w:rsidRPr="00C876EA" w:rsidRDefault="00453732" w:rsidP="00C876EA">
      <w:pPr>
        <w:pStyle w:val="a5"/>
        <w:spacing w:before="0" w:beforeAutospacing="0" w:after="0" w:afterAutospacing="0"/>
        <w:ind w:firstLine="709"/>
        <w:jc w:val="both"/>
        <w:rPr>
          <w:rStyle w:val="ab"/>
          <w:rFonts w:ascii="Arial" w:hAnsi="Arial" w:cs="Arial"/>
          <w:bCs w:val="0"/>
          <w:i/>
          <w:color w:val="000000"/>
          <w:sz w:val="22"/>
          <w:szCs w:val="22"/>
          <w:lang w:val="kk-KZ"/>
        </w:rPr>
      </w:pPr>
      <w:r w:rsidRPr="00453732">
        <w:rPr>
          <w:rFonts w:ascii="Arial" w:hAnsi="Arial" w:cs="Arial"/>
          <w:b/>
          <w:i/>
          <w:color w:val="000000"/>
          <w:sz w:val="22"/>
          <w:szCs w:val="22"/>
          <w:lang w:val="kk-KZ"/>
        </w:rPr>
        <w:t xml:space="preserve">Бұл 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</w:rPr>
        <w:t>мақала</w:t>
      </w:r>
      <w:r w:rsidRPr="00453732">
        <w:rPr>
          <w:rFonts w:ascii="Arial" w:hAnsi="Arial" w:cs="Arial"/>
          <w:b/>
          <w:i/>
          <w:color w:val="000000"/>
          <w:sz w:val="22"/>
          <w:szCs w:val="22"/>
          <w:lang w:val="kk-KZ"/>
        </w:rPr>
        <w:t>да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</w:rPr>
        <w:t xml:space="preserve"> Еуразиялық экономикалық одаққа мүше-елдердің денсаулық сақтау жүйесін қаржыландыру және жастар арасындағы өлімнің жоғарылылығы мәселелеріне арналған. Ма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kk-KZ"/>
        </w:rPr>
        <w:t>қ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</w:rPr>
        <w:t>алада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kk-KZ"/>
        </w:rPr>
        <w:t xml:space="preserve"> он бес–жиырма тоғыз жастағы 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</w:rPr>
        <w:t xml:space="preserve">әйел және еркек жынысы өкілдерінің өмірден қайтуының ішкі себептері 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kk-KZ"/>
        </w:rPr>
        <w:t>ұсынылып, денсаулық сақтау құралдарында бөлінген құралдардың динамикасы көрсетіледі. Жас адамдарды өлімге әкелетін, негізгі аурулар аталады. Неғұрлым нақтырақ, ЕАЭО–тың барлық елдерімен салыстырыла және динамикада кездейсоқ ішімдіктен улану, өзіне – өзі қол жұмсау және барлық  транспорттық оқыс жағдайлардан қайтыс болу сияқты өл</w:t>
      </w:r>
      <w:r w:rsidR="00CE6EEE">
        <w:rPr>
          <w:rFonts w:ascii="Arial" w:hAnsi="Arial" w:cs="Arial"/>
          <w:b/>
          <w:i/>
          <w:color w:val="000000"/>
          <w:sz w:val="22"/>
          <w:szCs w:val="22"/>
          <w:lang w:val="kk-KZ"/>
        </w:rPr>
        <w:t xml:space="preserve">імнің себептері ашылды. Өлім – 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kk-KZ"/>
        </w:rPr>
        <w:t>бұл Еуразиялық ықпалдастық бірлестік елдеріндегі демографиялық жағдай және экономика үшін жағымсыз салдарларға ие, әлеуметтік-экономикалық  проблема деп көрсетілді. Ұлттың және әсіресе оның жас буынның денсаулығы үшін күрес шаралары ұсынылды.</w:t>
      </w:r>
    </w:p>
    <w:p w:rsidR="00DF59A0" w:rsidRPr="00DF59A0" w:rsidRDefault="00DF59A0" w:rsidP="00DF59A0">
      <w:pPr>
        <w:pStyle w:val="a5"/>
        <w:ind w:firstLine="567"/>
        <w:jc w:val="both"/>
        <w:rPr>
          <w:rFonts w:ascii="Arial" w:hAnsi="Arial" w:cs="Arial"/>
          <w:b/>
          <w:i/>
          <w:color w:val="000000"/>
          <w:sz w:val="22"/>
          <w:szCs w:val="22"/>
          <w:lang w:val="kk-KZ"/>
        </w:rPr>
      </w:pPr>
      <w:r w:rsidRPr="00DF59A0">
        <w:rPr>
          <w:rFonts w:ascii="Arial" w:hAnsi="Arial" w:cs="Arial"/>
          <w:b/>
          <w:i/>
          <w:color w:val="000000"/>
          <w:sz w:val="22"/>
          <w:szCs w:val="22"/>
          <w:lang w:val="kk-KZ"/>
        </w:rPr>
        <w:t>Түйін сөздер: ЕАЭО, экономикалық дағдарыс, ұлт денсаулығы, денсаулық сақтау, жастар өлімі, өлім себептері.</w:t>
      </w:r>
    </w:p>
    <w:p w:rsidR="00DD7B01" w:rsidRPr="00E433B8" w:rsidRDefault="00DD7B01" w:rsidP="00DF59A0">
      <w:pPr>
        <w:pStyle w:val="msonormalmailrucssattributepostfixmailrucssattributepostfix"/>
        <w:shd w:val="clear" w:color="auto" w:fill="FFFFFF"/>
        <w:spacing w:before="0" w:beforeAutospacing="0" w:after="0" w:afterAutospacing="0"/>
        <w:rPr>
          <w:rStyle w:val="ab"/>
          <w:rFonts w:ascii="Arial" w:hAnsi="Arial" w:cs="Arial"/>
          <w:color w:val="000000"/>
          <w:sz w:val="22"/>
          <w:szCs w:val="22"/>
          <w:lang w:val="kk-KZ"/>
        </w:rPr>
      </w:pPr>
    </w:p>
    <w:p w:rsidR="007A5954" w:rsidRPr="00453732" w:rsidRDefault="007A5954" w:rsidP="00453732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4649B7">
        <w:rPr>
          <w:rStyle w:val="ab"/>
          <w:rFonts w:ascii="Arial" w:hAnsi="Arial" w:cs="Arial"/>
          <w:color w:val="000000"/>
          <w:sz w:val="22"/>
          <w:szCs w:val="22"/>
          <w:lang w:val="en-US"/>
        </w:rPr>
        <w:t>HEALTH FINANCING OF EEU COUNTRIES AND THE CAUSES OF MORTALITY AMONG YOUNG PEOPLE</w:t>
      </w:r>
    </w:p>
    <w:p w:rsidR="007A5954" w:rsidRPr="007A5954" w:rsidRDefault="007A5954" w:rsidP="00453732">
      <w:pPr>
        <w:spacing w:after="0"/>
        <w:ind w:firstLine="709"/>
        <w:jc w:val="center"/>
        <w:rPr>
          <w:rFonts w:ascii="Arial" w:hAnsi="Arial" w:cs="Arial"/>
          <w:b/>
          <w:lang w:val="en-US"/>
        </w:rPr>
      </w:pPr>
      <w:r w:rsidRPr="00453732">
        <w:rPr>
          <w:rFonts w:ascii="Arial" w:hAnsi="Arial" w:cs="Arial"/>
          <w:b/>
          <w:lang w:val="en-US"/>
        </w:rPr>
        <w:t>F.Z. Razhepaeva</w:t>
      </w:r>
    </w:p>
    <w:p w:rsidR="007A5954" w:rsidRDefault="00453732" w:rsidP="007A5954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  <w:r w:rsidRPr="00453732">
        <w:rPr>
          <w:rFonts w:ascii="Arial" w:hAnsi="Arial" w:cs="Arial"/>
          <w:b/>
          <w:i/>
          <w:color w:val="000000"/>
          <w:sz w:val="22"/>
          <w:szCs w:val="22"/>
          <w:lang w:val="en-US"/>
        </w:rPr>
        <w:lastRenderedPageBreak/>
        <w:t>This</w:t>
      </w:r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 article focuses on the problems of health financing of Eurasian Economic Union countries and high mortality rates of young people. The article presents the dynamic of allocated funds for health-care and internal causes of death of males and females from the age of 15-29. The paper identifies the main diseases, which had led to death of young people. </w:t>
      </w:r>
      <w:bookmarkStart w:id="0" w:name="_GoBack"/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en-US"/>
        </w:rPr>
        <w:t xml:space="preserve">The causes of death from accidental alcohol poisoning, suicides and all transport related fatal accidents are shown in more details in the dynamics and in comparison with all EEU countries. </w:t>
      </w:r>
      <w:bookmarkEnd w:id="0"/>
      <w:r w:rsidR="007A5954" w:rsidRPr="00453732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The article emphasizes that mortality is a serious socio-economic problem, which has negative consequences on economic and demographic situations of Eurasian integration association countries. The paper proposes measurements for improvement of nation’s health, particularly of young generation.</w:t>
      </w:r>
    </w:p>
    <w:p w:rsidR="00964C91" w:rsidRDefault="00964C91" w:rsidP="007A5954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</w:p>
    <w:p w:rsidR="00964C91" w:rsidRPr="00453732" w:rsidRDefault="00DD7B01" w:rsidP="007A5954">
      <w:pPr>
        <w:pStyle w:val="msonormal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color w:val="000000"/>
          <w:sz w:val="22"/>
          <w:szCs w:val="22"/>
          <w:lang w:val="en-US"/>
        </w:rPr>
      </w:pPr>
      <w:r w:rsidRPr="00DD7B01">
        <w:rPr>
          <w:rFonts w:ascii="Arial" w:hAnsi="Arial" w:cs="Arial"/>
          <w:b/>
          <w:i/>
          <w:color w:val="000000"/>
          <w:sz w:val="22"/>
          <w:szCs w:val="22"/>
          <w:lang w:val="en-US"/>
        </w:rPr>
        <w:t>Keywords: EEU, economic crisis, national health, health-care, mortality of young people, the reasons of mortality.</w:t>
      </w:r>
    </w:p>
    <w:sectPr w:rsidR="00964C91" w:rsidRPr="00453732" w:rsidSect="00BB4B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8CD" w:rsidRDefault="001448CD" w:rsidP="009C16CD">
      <w:pPr>
        <w:spacing w:after="0" w:line="240" w:lineRule="auto"/>
      </w:pPr>
      <w:r>
        <w:separator/>
      </w:r>
    </w:p>
  </w:endnote>
  <w:endnote w:type="continuationSeparator" w:id="0">
    <w:p w:rsidR="001448CD" w:rsidRDefault="001448CD" w:rsidP="009C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8CD" w:rsidRDefault="001448CD" w:rsidP="009C16CD">
      <w:pPr>
        <w:spacing w:after="0" w:line="240" w:lineRule="auto"/>
      </w:pPr>
      <w:r>
        <w:separator/>
      </w:r>
    </w:p>
  </w:footnote>
  <w:footnote w:type="continuationSeparator" w:id="0">
    <w:p w:rsidR="001448CD" w:rsidRDefault="001448CD" w:rsidP="009C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06029"/>
    <w:multiLevelType w:val="hybridMultilevel"/>
    <w:tmpl w:val="BE2E884A"/>
    <w:lvl w:ilvl="0" w:tplc="F50A26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17"/>
    <w:rsid w:val="00020375"/>
    <w:rsid w:val="00051C48"/>
    <w:rsid w:val="000877B6"/>
    <w:rsid w:val="00087A0D"/>
    <w:rsid w:val="00087D70"/>
    <w:rsid w:val="00091711"/>
    <w:rsid w:val="000C0572"/>
    <w:rsid w:val="000F1A80"/>
    <w:rsid w:val="000F5FEB"/>
    <w:rsid w:val="00131967"/>
    <w:rsid w:val="00135847"/>
    <w:rsid w:val="00142E3C"/>
    <w:rsid w:val="001448CD"/>
    <w:rsid w:val="00144A41"/>
    <w:rsid w:val="001D6201"/>
    <w:rsid w:val="001D7F70"/>
    <w:rsid w:val="001F64FF"/>
    <w:rsid w:val="0020226B"/>
    <w:rsid w:val="00203DFE"/>
    <w:rsid w:val="0021312E"/>
    <w:rsid w:val="0021426D"/>
    <w:rsid w:val="00222F3C"/>
    <w:rsid w:val="00224CA9"/>
    <w:rsid w:val="002341FD"/>
    <w:rsid w:val="00250A8E"/>
    <w:rsid w:val="00252649"/>
    <w:rsid w:val="002600CC"/>
    <w:rsid w:val="00280E71"/>
    <w:rsid w:val="0028298E"/>
    <w:rsid w:val="002856C4"/>
    <w:rsid w:val="002B1F11"/>
    <w:rsid w:val="002F211B"/>
    <w:rsid w:val="002F2304"/>
    <w:rsid w:val="002F5E14"/>
    <w:rsid w:val="003140EA"/>
    <w:rsid w:val="00326DD2"/>
    <w:rsid w:val="00360FF9"/>
    <w:rsid w:val="00391EA8"/>
    <w:rsid w:val="003C2127"/>
    <w:rsid w:val="003D4373"/>
    <w:rsid w:val="003F2635"/>
    <w:rsid w:val="00407B81"/>
    <w:rsid w:val="00416120"/>
    <w:rsid w:val="00422230"/>
    <w:rsid w:val="00437357"/>
    <w:rsid w:val="00452936"/>
    <w:rsid w:val="00453732"/>
    <w:rsid w:val="00482131"/>
    <w:rsid w:val="00496CDD"/>
    <w:rsid w:val="004D4D05"/>
    <w:rsid w:val="005244D6"/>
    <w:rsid w:val="00552318"/>
    <w:rsid w:val="00557724"/>
    <w:rsid w:val="00561070"/>
    <w:rsid w:val="005903EE"/>
    <w:rsid w:val="005959B2"/>
    <w:rsid w:val="005E3B1B"/>
    <w:rsid w:val="005F2398"/>
    <w:rsid w:val="005F5E22"/>
    <w:rsid w:val="005F6A36"/>
    <w:rsid w:val="00643C12"/>
    <w:rsid w:val="00680105"/>
    <w:rsid w:val="006A08AE"/>
    <w:rsid w:val="006A6448"/>
    <w:rsid w:val="006C0328"/>
    <w:rsid w:val="00715943"/>
    <w:rsid w:val="00725455"/>
    <w:rsid w:val="00757812"/>
    <w:rsid w:val="00790BE1"/>
    <w:rsid w:val="00796483"/>
    <w:rsid w:val="007A5954"/>
    <w:rsid w:val="007B39D4"/>
    <w:rsid w:val="007B6138"/>
    <w:rsid w:val="007C254C"/>
    <w:rsid w:val="007E620D"/>
    <w:rsid w:val="007F4C0A"/>
    <w:rsid w:val="00807536"/>
    <w:rsid w:val="00840A55"/>
    <w:rsid w:val="00843D3A"/>
    <w:rsid w:val="00856C78"/>
    <w:rsid w:val="00875E67"/>
    <w:rsid w:val="008B317C"/>
    <w:rsid w:val="008D396A"/>
    <w:rsid w:val="008D47A1"/>
    <w:rsid w:val="008E6296"/>
    <w:rsid w:val="008F65AA"/>
    <w:rsid w:val="009271E2"/>
    <w:rsid w:val="00952C3F"/>
    <w:rsid w:val="00964C91"/>
    <w:rsid w:val="009A03DA"/>
    <w:rsid w:val="009A7934"/>
    <w:rsid w:val="009B7F1A"/>
    <w:rsid w:val="009C16CD"/>
    <w:rsid w:val="009C3568"/>
    <w:rsid w:val="009E45B0"/>
    <w:rsid w:val="00A04EE8"/>
    <w:rsid w:val="00A05039"/>
    <w:rsid w:val="00A07A4E"/>
    <w:rsid w:val="00A1742E"/>
    <w:rsid w:val="00A254CA"/>
    <w:rsid w:val="00A3774E"/>
    <w:rsid w:val="00A638DD"/>
    <w:rsid w:val="00A6439F"/>
    <w:rsid w:val="00A660D3"/>
    <w:rsid w:val="00A766E6"/>
    <w:rsid w:val="00A86216"/>
    <w:rsid w:val="00A938D2"/>
    <w:rsid w:val="00AA6B84"/>
    <w:rsid w:val="00AC1F22"/>
    <w:rsid w:val="00AE278A"/>
    <w:rsid w:val="00AF4599"/>
    <w:rsid w:val="00B058AF"/>
    <w:rsid w:val="00B116EC"/>
    <w:rsid w:val="00B14760"/>
    <w:rsid w:val="00B30762"/>
    <w:rsid w:val="00B34A45"/>
    <w:rsid w:val="00B44209"/>
    <w:rsid w:val="00B542A1"/>
    <w:rsid w:val="00B54ABC"/>
    <w:rsid w:val="00B704E0"/>
    <w:rsid w:val="00B917BB"/>
    <w:rsid w:val="00B936DA"/>
    <w:rsid w:val="00BA0117"/>
    <w:rsid w:val="00BB0916"/>
    <w:rsid w:val="00BB4B7B"/>
    <w:rsid w:val="00BD1230"/>
    <w:rsid w:val="00BD1BE9"/>
    <w:rsid w:val="00BD3885"/>
    <w:rsid w:val="00BD7192"/>
    <w:rsid w:val="00C175CB"/>
    <w:rsid w:val="00C25A96"/>
    <w:rsid w:val="00C47E7A"/>
    <w:rsid w:val="00C70510"/>
    <w:rsid w:val="00C84F79"/>
    <w:rsid w:val="00C876EA"/>
    <w:rsid w:val="00CC4A1E"/>
    <w:rsid w:val="00CE6EEE"/>
    <w:rsid w:val="00CF3681"/>
    <w:rsid w:val="00CF4E70"/>
    <w:rsid w:val="00D52EC6"/>
    <w:rsid w:val="00D55C9C"/>
    <w:rsid w:val="00D9597E"/>
    <w:rsid w:val="00DA125E"/>
    <w:rsid w:val="00DA7B4B"/>
    <w:rsid w:val="00DB699E"/>
    <w:rsid w:val="00DD7B01"/>
    <w:rsid w:val="00DE0DC0"/>
    <w:rsid w:val="00DF59A0"/>
    <w:rsid w:val="00E1104F"/>
    <w:rsid w:val="00E27D5B"/>
    <w:rsid w:val="00E31844"/>
    <w:rsid w:val="00E33E41"/>
    <w:rsid w:val="00E433B8"/>
    <w:rsid w:val="00E5219E"/>
    <w:rsid w:val="00E5525A"/>
    <w:rsid w:val="00E66E96"/>
    <w:rsid w:val="00EB0A61"/>
    <w:rsid w:val="00ED69D0"/>
    <w:rsid w:val="00EE0D0D"/>
    <w:rsid w:val="00F0796D"/>
    <w:rsid w:val="00F21AE7"/>
    <w:rsid w:val="00F570FD"/>
    <w:rsid w:val="00F6532F"/>
    <w:rsid w:val="00F768B8"/>
    <w:rsid w:val="00F838CC"/>
    <w:rsid w:val="00F83CCD"/>
    <w:rsid w:val="00F93CA7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EA216-DCA6-4470-AAC8-BFA5D6BD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E9"/>
  </w:style>
  <w:style w:type="paragraph" w:styleId="1">
    <w:name w:val="heading 1"/>
    <w:basedOn w:val="a"/>
    <w:link w:val="10"/>
    <w:uiPriority w:val="9"/>
    <w:qFormat/>
    <w:rsid w:val="00B14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70FD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30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7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9C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16CD"/>
  </w:style>
  <w:style w:type="paragraph" w:styleId="a8">
    <w:name w:val="footer"/>
    <w:basedOn w:val="a"/>
    <w:link w:val="a9"/>
    <w:uiPriority w:val="99"/>
    <w:unhideWhenUsed/>
    <w:rsid w:val="009C1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16CD"/>
  </w:style>
  <w:style w:type="paragraph" w:styleId="aa">
    <w:name w:val="List Paragraph"/>
    <w:basedOn w:val="a"/>
    <w:uiPriority w:val="34"/>
    <w:qFormat/>
    <w:rsid w:val="000F1A80"/>
    <w:pPr>
      <w:ind w:left="720"/>
      <w:contextualSpacing/>
    </w:pPr>
  </w:style>
  <w:style w:type="character" w:styleId="ab">
    <w:name w:val="Strong"/>
    <w:basedOn w:val="a0"/>
    <w:uiPriority w:val="22"/>
    <w:qFormat/>
    <w:rsid w:val="007A5954"/>
    <w:rPr>
      <w:b/>
      <w:bCs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7A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v/organizatsiya-sistemy-zdravoohraneniya-v-stranah-sng" TargetMode="External"/><Relationship Id="rId13" Type="http://schemas.openxmlformats.org/officeDocument/2006/relationships/hyperlink" Target="http://gtmarket.ru/ratings/rating-countries-alcohol-consumption/info%20201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yberleninka.ru/article/v/organizatsiya-sistemy-zdravoohraneniya-v-stranah-sn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ossofsoul.com/DEATH/suicide/statistic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tmarket.ru/ratings/expenditure-on-health/in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mbf.org/interesnye-stati/kurenie.html%20" TargetMode="External"/><Relationship Id="rId10" Type="http://schemas.openxmlformats.org/officeDocument/2006/relationships/hyperlink" Target="http://https:%20//%20www.eg-online.ru/article/3609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asian-studies.org/archives/3346" TargetMode="External"/><Relationship Id="rId14" Type="http://schemas.openxmlformats.org/officeDocument/2006/relationships/hyperlink" Target="http://vawilon.ru/statistika-kur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84B53-FCE8-4D66-AE2A-6C8D9B76E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6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2018-01-17T14:23:00Z</dcterms:created>
  <dcterms:modified xsi:type="dcterms:W3CDTF">2018-03-08T07:52:00Z</dcterms:modified>
</cp:coreProperties>
</file>